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A6FA3F" w14:textId="77777777" w:rsidR="00641054" w:rsidRDefault="009974F8" w:rsidP="003D58F1">
      <w:pPr>
        <w:autoSpaceDE/>
        <w:autoSpaceDN/>
        <w:adjustRightInd/>
        <w:spacing w:after="0"/>
        <w:jc w:val="left"/>
        <w:sectPr w:rsidR="00641054"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2B9E32A9" wp14:editId="6F0A3A89">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6263" w14:textId="77777777" w:rsidR="008A5C96" w:rsidRDefault="008A5C96" w:rsidP="0037393E">
                            <w:pPr>
                              <w:spacing w:after="0"/>
                              <w:ind w:right="-46"/>
                              <w:jc w:val="left"/>
                              <w:rPr>
                                <w:rFonts w:cs="Arial"/>
                                <w:b/>
                                <w:bCs/>
                                <w:sz w:val="52"/>
                                <w:szCs w:val="52"/>
                              </w:rPr>
                            </w:pPr>
                          </w:p>
                          <w:p w14:paraId="1CB123E5" w14:textId="77777777" w:rsidR="008A5C96" w:rsidRDefault="008A5C96" w:rsidP="0037393E">
                            <w:pPr>
                              <w:spacing w:after="0"/>
                              <w:ind w:right="-46"/>
                              <w:jc w:val="left"/>
                              <w:rPr>
                                <w:rFonts w:cs="Arial"/>
                                <w:b/>
                                <w:bCs/>
                                <w:sz w:val="52"/>
                                <w:szCs w:val="52"/>
                              </w:rPr>
                            </w:pPr>
                            <w:r>
                              <w:rPr>
                                <w:rFonts w:cs="Arial"/>
                                <w:b/>
                                <w:bCs/>
                                <w:sz w:val="52"/>
                                <w:szCs w:val="52"/>
                              </w:rPr>
                              <w:t>Money Matters</w:t>
                            </w:r>
                          </w:p>
                          <w:p w14:paraId="52BAB6F2" w14:textId="77777777" w:rsidR="008A5C96" w:rsidRDefault="008A5C96" w:rsidP="0037393E">
                            <w:pPr>
                              <w:spacing w:after="0"/>
                              <w:ind w:right="-46"/>
                              <w:jc w:val="left"/>
                              <w:rPr>
                                <w:rFonts w:cs="Arial"/>
                                <w:b/>
                                <w:bCs/>
                                <w:sz w:val="52"/>
                                <w:szCs w:val="52"/>
                              </w:rPr>
                            </w:pPr>
                            <w:r>
                              <w:rPr>
                                <w:rFonts w:cs="Arial"/>
                                <w:b/>
                                <w:bCs/>
                                <w:sz w:val="52"/>
                                <w:szCs w:val="52"/>
                              </w:rPr>
                              <w:t>Financial Outlook for the County Council</w:t>
                            </w:r>
                          </w:p>
                          <w:p w14:paraId="600948F0" w14:textId="77777777" w:rsidR="008A5C96" w:rsidRPr="0037393E" w:rsidRDefault="008A5C96" w:rsidP="0037393E">
                            <w:pPr>
                              <w:spacing w:after="0"/>
                              <w:ind w:right="-46"/>
                              <w:jc w:val="left"/>
                              <w:rPr>
                                <w:rFonts w:cs="Arial"/>
                                <w:b/>
                                <w:bCs/>
                                <w:sz w:val="52"/>
                                <w:szCs w:val="52"/>
                              </w:rPr>
                            </w:pPr>
                            <w:r>
                              <w:rPr>
                                <w:rFonts w:cs="Arial"/>
                                <w:b/>
                                <w:bCs/>
                                <w:sz w:val="52"/>
                                <w:szCs w:val="52"/>
                              </w:rPr>
                              <w:t>Medium Term Financial Strategy as at 30</w:t>
                            </w:r>
                            <w:r w:rsidRPr="00666242">
                              <w:rPr>
                                <w:rFonts w:cs="Arial"/>
                                <w:b/>
                                <w:bCs/>
                                <w:sz w:val="52"/>
                                <w:szCs w:val="52"/>
                                <w:vertAlign w:val="superscript"/>
                              </w:rPr>
                              <w:t>th</w:t>
                            </w:r>
                            <w:r>
                              <w:rPr>
                                <w:rFonts w:cs="Arial"/>
                                <w:b/>
                                <w:bCs/>
                                <w:sz w:val="52"/>
                                <w:szCs w:val="52"/>
                              </w:rPr>
                              <w:t xml:space="preserve"> June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E32A9" id="_x0000_t202" coordsize="21600,21600" o:spt="202" path="m,l,21600r21600,l21600,xe">
                <v:stroke joinstyle="miter"/>
                <v:path gradientshapeok="t" o:connecttype="rect"/>
              </v:shapetype>
              <v:shape id="Text Box 4" o:spid="_x0000_s1026" type="#_x0000_t202" style="position:absolute;margin-left:-26.8pt;margin-top:462.2pt;width:522.85pt;height:1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9F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" filled="f" stroked="f">
                <v:textbox>
                  <w:txbxContent>
                    <w:p w14:paraId="041E6263" w14:textId="77777777" w:rsidR="008A5C96" w:rsidRDefault="008A5C96" w:rsidP="0037393E">
                      <w:pPr>
                        <w:spacing w:after="0"/>
                        <w:ind w:right="-46"/>
                        <w:jc w:val="left"/>
                        <w:rPr>
                          <w:rFonts w:cs="Arial"/>
                          <w:b/>
                          <w:bCs/>
                          <w:sz w:val="52"/>
                          <w:szCs w:val="52"/>
                        </w:rPr>
                      </w:pPr>
                    </w:p>
                    <w:p w14:paraId="1CB123E5" w14:textId="77777777" w:rsidR="008A5C96" w:rsidRDefault="008A5C96" w:rsidP="0037393E">
                      <w:pPr>
                        <w:spacing w:after="0"/>
                        <w:ind w:right="-46"/>
                        <w:jc w:val="left"/>
                        <w:rPr>
                          <w:rFonts w:cs="Arial"/>
                          <w:b/>
                          <w:bCs/>
                          <w:sz w:val="52"/>
                          <w:szCs w:val="52"/>
                        </w:rPr>
                      </w:pPr>
                      <w:r>
                        <w:rPr>
                          <w:rFonts w:cs="Arial"/>
                          <w:b/>
                          <w:bCs/>
                          <w:sz w:val="52"/>
                          <w:szCs w:val="52"/>
                        </w:rPr>
                        <w:t>Money Matters</w:t>
                      </w:r>
                    </w:p>
                    <w:p w14:paraId="52BAB6F2" w14:textId="77777777" w:rsidR="008A5C96" w:rsidRDefault="008A5C96" w:rsidP="0037393E">
                      <w:pPr>
                        <w:spacing w:after="0"/>
                        <w:ind w:right="-46"/>
                        <w:jc w:val="left"/>
                        <w:rPr>
                          <w:rFonts w:cs="Arial"/>
                          <w:b/>
                          <w:bCs/>
                          <w:sz w:val="52"/>
                          <w:szCs w:val="52"/>
                        </w:rPr>
                      </w:pPr>
                      <w:r>
                        <w:rPr>
                          <w:rFonts w:cs="Arial"/>
                          <w:b/>
                          <w:bCs/>
                          <w:sz w:val="52"/>
                          <w:szCs w:val="52"/>
                        </w:rPr>
                        <w:t>Financial Outlook for the County Council</w:t>
                      </w:r>
                    </w:p>
                    <w:p w14:paraId="600948F0" w14:textId="77777777" w:rsidR="008A5C96" w:rsidRPr="0037393E" w:rsidRDefault="008A5C96" w:rsidP="0037393E">
                      <w:pPr>
                        <w:spacing w:after="0"/>
                        <w:ind w:right="-46"/>
                        <w:jc w:val="left"/>
                        <w:rPr>
                          <w:rFonts w:cs="Arial"/>
                          <w:b/>
                          <w:bCs/>
                          <w:sz w:val="52"/>
                          <w:szCs w:val="52"/>
                        </w:rPr>
                      </w:pPr>
                      <w:r>
                        <w:rPr>
                          <w:rFonts w:cs="Arial"/>
                          <w:b/>
                          <w:bCs/>
                          <w:sz w:val="52"/>
                          <w:szCs w:val="52"/>
                        </w:rPr>
                        <w:t>Medium Term Financial Strategy as at 30</w:t>
                      </w:r>
                      <w:r w:rsidRPr="00666242">
                        <w:rPr>
                          <w:rFonts w:cs="Arial"/>
                          <w:b/>
                          <w:bCs/>
                          <w:sz w:val="52"/>
                          <w:szCs w:val="52"/>
                          <w:vertAlign w:val="superscript"/>
                        </w:rPr>
                        <w:t>th</w:t>
                      </w:r>
                      <w:r>
                        <w:rPr>
                          <w:rFonts w:cs="Arial"/>
                          <w:b/>
                          <w:bCs/>
                          <w:sz w:val="52"/>
                          <w:szCs w:val="52"/>
                        </w:rPr>
                        <w:t xml:space="preserve"> June 2016</w:t>
                      </w: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8150B9" w14:paraId="44828FE1" w14:textId="77777777" w:rsidTr="008150B9">
        <w:trPr>
          <w:trHeight w:val="699"/>
        </w:trPr>
        <w:tc>
          <w:tcPr>
            <w:tcW w:w="562" w:type="dxa"/>
            <w:vAlign w:val="center"/>
          </w:tcPr>
          <w:p w14:paraId="03DB1889" w14:textId="77777777" w:rsidR="008150B9" w:rsidRDefault="008150B9" w:rsidP="008150B9">
            <w:pPr>
              <w:spacing w:after="0"/>
              <w:ind w:right="-46"/>
              <w:jc w:val="center"/>
              <w:rPr>
                <w:rFonts w:cs="Arial"/>
                <w:b/>
                <w:bCs/>
                <w:sz w:val="22"/>
              </w:rPr>
            </w:pPr>
          </w:p>
        </w:tc>
        <w:tc>
          <w:tcPr>
            <w:tcW w:w="5437" w:type="dxa"/>
            <w:vAlign w:val="center"/>
          </w:tcPr>
          <w:p w14:paraId="0748E47D" w14:textId="77777777" w:rsidR="008150B9" w:rsidRDefault="008150B9" w:rsidP="008150B9">
            <w:pPr>
              <w:spacing w:after="0"/>
              <w:ind w:right="-46"/>
              <w:jc w:val="center"/>
              <w:rPr>
                <w:rFonts w:cs="Arial"/>
                <w:b/>
                <w:bCs/>
                <w:sz w:val="22"/>
              </w:rPr>
            </w:pPr>
            <w:r>
              <w:rPr>
                <w:rFonts w:cs="Arial"/>
                <w:b/>
                <w:bCs/>
                <w:sz w:val="22"/>
              </w:rPr>
              <w:t>Contents</w:t>
            </w:r>
          </w:p>
        </w:tc>
        <w:tc>
          <w:tcPr>
            <w:tcW w:w="3017" w:type="dxa"/>
            <w:vAlign w:val="center"/>
          </w:tcPr>
          <w:p w14:paraId="1272430A" w14:textId="77777777" w:rsidR="008150B9" w:rsidRDefault="008150B9" w:rsidP="008150B9">
            <w:pPr>
              <w:spacing w:after="0"/>
              <w:ind w:right="-46"/>
              <w:jc w:val="center"/>
              <w:rPr>
                <w:rFonts w:cs="Arial"/>
                <w:b/>
                <w:bCs/>
                <w:sz w:val="22"/>
              </w:rPr>
            </w:pPr>
            <w:r>
              <w:rPr>
                <w:rFonts w:cs="Arial"/>
                <w:b/>
                <w:bCs/>
                <w:sz w:val="22"/>
              </w:rPr>
              <w:t>Page</w:t>
            </w:r>
          </w:p>
        </w:tc>
      </w:tr>
      <w:tr w:rsidR="008150B9" w:rsidRPr="004C52A6" w14:paraId="029310E1" w14:textId="77777777" w:rsidTr="008150B9">
        <w:tc>
          <w:tcPr>
            <w:tcW w:w="562" w:type="dxa"/>
            <w:vAlign w:val="center"/>
          </w:tcPr>
          <w:p w14:paraId="5FD67BE2" w14:textId="77777777" w:rsidR="008150B9" w:rsidRPr="004C52A6" w:rsidRDefault="008150B9" w:rsidP="008150B9">
            <w:pPr>
              <w:spacing w:after="0"/>
              <w:ind w:right="-46"/>
              <w:jc w:val="center"/>
              <w:rPr>
                <w:rFonts w:cs="Arial"/>
                <w:b/>
                <w:bCs/>
              </w:rPr>
            </w:pPr>
            <w:r w:rsidRPr="004C52A6">
              <w:rPr>
                <w:rFonts w:cs="Arial"/>
                <w:b/>
                <w:bCs/>
              </w:rPr>
              <w:t>1</w:t>
            </w:r>
          </w:p>
        </w:tc>
        <w:tc>
          <w:tcPr>
            <w:tcW w:w="5437" w:type="dxa"/>
            <w:vAlign w:val="center"/>
          </w:tcPr>
          <w:p w14:paraId="425B8270" w14:textId="77777777" w:rsidR="000A747F" w:rsidRPr="004C52A6" w:rsidRDefault="000A747F" w:rsidP="003D58F1">
            <w:pPr>
              <w:spacing w:after="0"/>
              <w:ind w:right="-46"/>
              <w:rPr>
                <w:rFonts w:cs="Arial"/>
                <w:b/>
                <w:bCs/>
              </w:rPr>
            </w:pPr>
          </w:p>
          <w:p w14:paraId="4BA7EDC2" w14:textId="77777777" w:rsidR="008150B9" w:rsidRPr="004C52A6" w:rsidRDefault="008150B9" w:rsidP="003D58F1">
            <w:pPr>
              <w:spacing w:after="0"/>
              <w:ind w:right="-46"/>
              <w:rPr>
                <w:rFonts w:cs="Arial"/>
                <w:b/>
                <w:bCs/>
              </w:rPr>
            </w:pPr>
            <w:r w:rsidRPr="004C52A6">
              <w:rPr>
                <w:rFonts w:cs="Arial"/>
                <w:b/>
                <w:bCs/>
              </w:rPr>
              <w:t>Executive Summary</w:t>
            </w:r>
          </w:p>
          <w:p w14:paraId="04591AF9" w14:textId="77777777" w:rsidR="000A747F" w:rsidRPr="004C52A6" w:rsidRDefault="000A747F" w:rsidP="003D58F1">
            <w:pPr>
              <w:spacing w:after="0"/>
              <w:ind w:right="-46"/>
              <w:rPr>
                <w:rFonts w:cs="Arial"/>
                <w:b/>
                <w:bCs/>
              </w:rPr>
            </w:pPr>
          </w:p>
        </w:tc>
        <w:tc>
          <w:tcPr>
            <w:tcW w:w="3017" w:type="dxa"/>
            <w:vAlign w:val="center"/>
          </w:tcPr>
          <w:p w14:paraId="696C80B8" w14:textId="77777777" w:rsidR="008150B9" w:rsidRPr="004C52A6" w:rsidRDefault="000A747F" w:rsidP="000A747F">
            <w:pPr>
              <w:spacing w:after="0"/>
              <w:ind w:right="-46"/>
              <w:jc w:val="center"/>
              <w:rPr>
                <w:rFonts w:cs="Arial"/>
                <w:b/>
                <w:bCs/>
              </w:rPr>
            </w:pPr>
            <w:r w:rsidRPr="004C52A6">
              <w:rPr>
                <w:rFonts w:cs="Arial"/>
                <w:b/>
                <w:bCs/>
              </w:rPr>
              <w:t>3</w:t>
            </w:r>
          </w:p>
        </w:tc>
      </w:tr>
      <w:tr w:rsidR="008150B9" w:rsidRPr="004C52A6" w14:paraId="64100E30" w14:textId="77777777" w:rsidTr="008150B9">
        <w:tc>
          <w:tcPr>
            <w:tcW w:w="562" w:type="dxa"/>
            <w:vAlign w:val="center"/>
          </w:tcPr>
          <w:p w14:paraId="5EFB28C8" w14:textId="77777777" w:rsidR="008150B9" w:rsidRPr="004C52A6" w:rsidRDefault="008150B9" w:rsidP="008150B9">
            <w:pPr>
              <w:spacing w:after="0"/>
              <w:ind w:right="-46"/>
              <w:jc w:val="center"/>
              <w:rPr>
                <w:rFonts w:cs="Arial"/>
                <w:b/>
                <w:bCs/>
              </w:rPr>
            </w:pPr>
            <w:r w:rsidRPr="004C52A6">
              <w:rPr>
                <w:rFonts w:cs="Arial"/>
                <w:b/>
                <w:bCs/>
              </w:rPr>
              <w:t>2</w:t>
            </w:r>
          </w:p>
        </w:tc>
        <w:tc>
          <w:tcPr>
            <w:tcW w:w="5437" w:type="dxa"/>
            <w:vAlign w:val="center"/>
          </w:tcPr>
          <w:p w14:paraId="64585E78" w14:textId="77777777" w:rsidR="000A747F" w:rsidRPr="004C52A6" w:rsidRDefault="000A747F" w:rsidP="003D58F1">
            <w:pPr>
              <w:spacing w:after="0"/>
              <w:ind w:right="-46"/>
              <w:rPr>
                <w:rFonts w:cs="Arial"/>
                <w:b/>
                <w:bCs/>
              </w:rPr>
            </w:pPr>
          </w:p>
          <w:p w14:paraId="2D2CFBF5" w14:textId="77777777" w:rsidR="008150B9" w:rsidRPr="004C52A6" w:rsidRDefault="008150B9" w:rsidP="003D58F1">
            <w:pPr>
              <w:spacing w:after="0"/>
              <w:ind w:right="-46"/>
              <w:rPr>
                <w:rFonts w:cs="Arial"/>
                <w:b/>
                <w:bCs/>
              </w:rPr>
            </w:pPr>
            <w:r w:rsidRPr="004C52A6">
              <w:rPr>
                <w:rFonts w:cs="Arial"/>
                <w:b/>
                <w:bCs/>
              </w:rPr>
              <w:t>Resources</w:t>
            </w:r>
          </w:p>
          <w:p w14:paraId="31CAC218" w14:textId="77777777" w:rsidR="000A747F" w:rsidRPr="004C52A6" w:rsidRDefault="000A747F" w:rsidP="003D58F1">
            <w:pPr>
              <w:spacing w:after="0"/>
              <w:ind w:right="-46"/>
              <w:rPr>
                <w:rFonts w:cs="Arial"/>
                <w:b/>
                <w:bCs/>
              </w:rPr>
            </w:pPr>
          </w:p>
        </w:tc>
        <w:tc>
          <w:tcPr>
            <w:tcW w:w="3017" w:type="dxa"/>
            <w:vAlign w:val="center"/>
          </w:tcPr>
          <w:p w14:paraId="4A84CF43" w14:textId="33496773" w:rsidR="008150B9" w:rsidRPr="004C52A6" w:rsidRDefault="00EC3B62" w:rsidP="000A747F">
            <w:pPr>
              <w:spacing w:after="0"/>
              <w:ind w:right="-46"/>
              <w:jc w:val="center"/>
              <w:rPr>
                <w:rFonts w:cs="Arial"/>
                <w:b/>
                <w:bCs/>
              </w:rPr>
            </w:pPr>
            <w:r>
              <w:rPr>
                <w:rFonts w:cs="Arial"/>
                <w:b/>
                <w:bCs/>
              </w:rPr>
              <w:t>5</w:t>
            </w:r>
          </w:p>
        </w:tc>
      </w:tr>
      <w:tr w:rsidR="008150B9" w:rsidRPr="004C52A6" w14:paraId="0566995B" w14:textId="77777777" w:rsidTr="008150B9">
        <w:tc>
          <w:tcPr>
            <w:tcW w:w="562" w:type="dxa"/>
            <w:vAlign w:val="center"/>
          </w:tcPr>
          <w:p w14:paraId="56FD20E7" w14:textId="77777777" w:rsidR="008150B9" w:rsidRPr="004C52A6" w:rsidRDefault="008150B9" w:rsidP="008150B9">
            <w:pPr>
              <w:spacing w:after="0"/>
              <w:ind w:right="-46"/>
              <w:jc w:val="center"/>
              <w:rPr>
                <w:rFonts w:cs="Arial"/>
                <w:b/>
                <w:bCs/>
              </w:rPr>
            </w:pPr>
            <w:r w:rsidRPr="004C52A6">
              <w:rPr>
                <w:rFonts w:cs="Arial"/>
                <w:b/>
                <w:bCs/>
              </w:rPr>
              <w:t>3</w:t>
            </w:r>
          </w:p>
        </w:tc>
        <w:tc>
          <w:tcPr>
            <w:tcW w:w="5437" w:type="dxa"/>
            <w:vAlign w:val="center"/>
          </w:tcPr>
          <w:p w14:paraId="47E4131C" w14:textId="77777777" w:rsidR="000A747F" w:rsidRPr="004C52A6" w:rsidRDefault="000A747F" w:rsidP="003D58F1">
            <w:pPr>
              <w:spacing w:after="0"/>
              <w:ind w:right="-46"/>
              <w:rPr>
                <w:rFonts w:cs="Arial"/>
                <w:b/>
                <w:bCs/>
              </w:rPr>
            </w:pPr>
          </w:p>
          <w:p w14:paraId="13BE072B" w14:textId="77777777" w:rsidR="008150B9" w:rsidRPr="004C52A6" w:rsidRDefault="00E7457D" w:rsidP="003D58F1">
            <w:pPr>
              <w:spacing w:after="0"/>
              <w:ind w:right="-46"/>
              <w:rPr>
                <w:rFonts w:cs="Arial"/>
                <w:b/>
                <w:bCs/>
              </w:rPr>
            </w:pPr>
            <w:r w:rsidRPr="004C52A6">
              <w:rPr>
                <w:rFonts w:cs="Arial"/>
                <w:b/>
                <w:bCs/>
              </w:rPr>
              <w:t>Net Spending Pressures</w:t>
            </w:r>
          </w:p>
          <w:p w14:paraId="7C25C8F8" w14:textId="77777777" w:rsidR="000A747F" w:rsidRPr="004C52A6" w:rsidRDefault="000A747F" w:rsidP="003D58F1">
            <w:pPr>
              <w:spacing w:after="0"/>
              <w:ind w:right="-46"/>
              <w:rPr>
                <w:rFonts w:cs="Arial"/>
                <w:b/>
                <w:bCs/>
              </w:rPr>
            </w:pPr>
          </w:p>
        </w:tc>
        <w:tc>
          <w:tcPr>
            <w:tcW w:w="3017" w:type="dxa"/>
            <w:vAlign w:val="center"/>
          </w:tcPr>
          <w:p w14:paraId="509BD5D1" w14:textId="77777777" w:rsidR="008150B9" w:rsidRPr="004C52A6" w:rsidRDefault="0093138C" w:rsidP="000A747F">
            <w:pPr>
              <w:spacing w:after="0"/>
              <w:ind w:right="-46"/>
              <w:jc w:val="center"/>
              <w:rPr>
                <w:rFonts w:cs="Arial"/>
                <w:b/>
                <w:bCs/>
              </w:rPr>
            </w:pPr>
            <w:r w:rsidRPr="004C52A6">
              <w:rPr>
                <w:rFonts w:cs="Arial"/>
                <w:b/>
                <w:bCs/>
              </w:rPr>
              <w:t>11</w:t>
            </w:r>
          </w:p>
        </w:tc>
      </w:tr>
      <w:tr w:rsidR="00E7457D" w:rsidRPr="004C52A6" w14:paraId="201A99B6" w14:textId="77777777" w:rsidTr="008150B9">
        <w:tc>
          <w:tcPr>
            <w:tcW w:w="562" w:type="dxa"/>
            <w:vAlign w:val="center"/>
          </w:tcPr>
          <w:p w14:paraId="4C15F726" w14:textId="77777777" w:rsidR="00E7457D" w:rsidRPr="004C52A6" w:rsidRDefault="00E7457D" w:rsidP="008150B9">
            <w:pPr>
              <w:spacing w:after="0"/>
              <w:ind w:right="-46"/>
              <w:jc w:val="center"/>
              <w:rPr>
                <w:rFonts w:cs="Arial"/>
                <w:b/>
                <w:bCs/>
              </w:rPr>
            </w:pPr>
            <w:r w:rsidRPr="004C52A6">
              <w:rPr>
                <w:rFonts w:cs="Arial"/>
                <w:b/>
                <w:bCs/>
              </w:rPr>
              <w:t>4</w:t>
            </w:r>
          </w:p>
        </w:tc>
        <w:tc>
          <w:tcPr>
            <w:tcW w:w="5437" w:type="dxa"/>
            <w:vAlign w:val="center"/>
          </w:tcPr>
          <w:p w14:paraId="01B74466" w14:textId="77777777" w:rsidR="000A747F" w:rsidRPr="004C52A6" w:rsidRDefault="000A747F" w:rsidP="000A747F">
            <w:pPr>
              <w:spacing w:after="0"/>
              <w:ind w:right="-46"/>
              <w:rPr>
                <w:rFonts w:cs="Arial"/>
                <w:b/>
                <w:bCs/>
              </w:rPr>
            </w:pPr>
          </w:p>
          <w:p w14:paraId="6EC7BD7E" w14:textId="77777777" w:rsidR="000A747F" w:rsidRPr="004C52A6" w:rsidRDefault="000A747F" w:rsidP="000A747F">
            <w:pPr>
              <w:spacing w:after="0"/>
              <w:ind w:right="-46"/>
              <w:rPr>
                <w:rFonts w:cs="Arial"/>
                <w:b/>
                <w:bCs/>
              </w:rPr>
            </w:pPr>
            <w:r w:rsidRPr="004C52A6">
              <w:rPr>
                <w:rFonts w:cs="Arial"/>
                <w:b/>
                <w:bCs/>
              </w:rPr>
              <w:t>Future Risks</w:t>
            </w:r>
          </w:p>
          <w:p w14:paraId="7FBD6CB4" w14:textId="77777777" w:rsidR="000A747F" w:rsidRPr="004C52A6" w:rsidRDefault="000A747F" w:rsidP="000A747F">
            <w:pPr>
              <w:spacing w:after="0"/>
              <w:ind w:right="-46"/>
              <w:rPr>
                <w:rFonts w:cs="Arial"/>
                <w:b/>
                <w:bCs/>
              </w:rPr>
            </w:pPr>
          </w:p>
        </w:tc>
        <w:tc>
          <w:tcPr>
            <w:tcW w:w="3017" w:type="dxa"/>
            <w:vAlign w:val="center"/>
          </w:tcPr>
          <w:p w14:paraId="210035BF" w14:textId="219A44AC" w:rsidR="00E7457D" w:rsidRPr="004C52A6" w:rsidRDefault="00EC3B62" w:rsidP="000A747F">
            <w:pPr>
              <w:spacing w:after="0"/>
              <w:ind w:right="-46"/>
              <w:jc w:val="center"/>
              <w:rPr>
                <w:rFonts w:cs="Arial"/>
                <w:b/>
                <w:bCs/>
              </w:rPr>
            </w:pPr>
            <w:r>
              <w:rPr>
                <w:rFonts w:cs="Arial"/>
                <w:b/>
                <w:bCs/>
              </w:rPr>
              <w:t>15</w:t>
            </w:r>
          </w:p>
        </w:tc>
      </w:tr>
    </w:tbl>
    <w:p w14:paraId="37878CDF" w14:textId="77777777" w:rsidR="0037393E" w:rsidRDefault="0037393E" w:rsidP="003D58F1">
      <w:pPr>
        <w:spacing w:after="0"/>
        <w:ind w:right="-46"/>
        <w:rPr>
          <w:rFonts w:cs="Arial"/>
          <w:b/>
          <w:bCs/>
          <w:sz w:val="22"/>
        </w:rPr>
      </w:pPr>
    </w:p>
    <w:p w14:paraId="663411DD" w14:textId="77777777" w:rsidR="008150B9" w:rsidRDefault="008150B9">
      <w:pPr>
        <w:autoSpaceDE/>
        <w:autoSpaceDN/>
        <w:adjustRightInd/>
        <w:spacing w:after="0"/>
        <w:jc w:val="left"/>
        <w:rPr>
          <w:rFonts w:cs="Arial"/>
          <w:b/>
        </w:rPr>
      </w:pPr>
      <w:r>
        <w:rPr>
          <w:rFonts w:cs="Arial"/>
          <w:b/>
        </w:rPr>
        <w:br w:type="page"/>
      </w:r>
    </w:p>
    <w:p w14:paraId="769E36BB" w14:textId="77777777" w:rsidR="00932C3B" w:rsidRPr="008D5D96" w:rsidRDefault="00932C3B" w:rsidP="008D5D96">
      <w:pPr>
        <w:pBdr>
          <w:bottom w:val="single" w:sz="4" w:space="1" w:color="auto"/>
        </w:pBdr>
        <w:tabs>
          <w:tab w:val="left" w:pos="567"/>
          <w:tab w:val="left" w:pos="1134"/>
        </w:tabs>
        <w:spacing w:after="0"/>
        <w:rPr>
          <w:rFonts w:cs="Arial"/>
          <w:b/>
        </w:rPr>
      </w:pPr>
      <w:r w:rsidRPr="008D5D96">
        <w:rPr>
          <w:rFonts w:cs="Arial"/>
          <w:b/>
        </w:rPr>
        <w:lastRenderedPageBreak/>
        <w:t>Financial Outlook for the County Council: Medium Term Financial Strategy</w:t>
      </w:r>
    </w:p>
    <w:p w14:paraId="2EA68FE8" w14:textId="77777777" w:rsidR="00932C3B" w:rsidRPr="008D5D96" w:rsidRDefault="00932C3B" w:rsidP="008D5D96">
      <w:pPr>
        <w:tabs>
          <w:tab w:val="left" w:pos="567"/>
          <w:tab w:val="left" w:pos="1134"/>
        </w:tabs>
        <w:spacing w:after="0"/>
        <w:rPr>
          <w:rFonts w:cs="Arial"/>
        </w:rPr>
      </w:pPr>
    </w:p>
    <w:p w14:paraId="46EB8761" w14:textId="77777777" w:rsidR="008321DE" w:rsidRPr="005E0399" w:rsidRDefault="008321DE" w:rsidP="00C029F0">
      <w:pPr>
        <w:pStyle w:val="ListParagraph"/>
        <w:numPr>
          <w:ilvl w:val="0"/>
          <w:numId w:val="25"/>
        </w:numPr>
        <w:spacing w:after="0"/>
        <w:ind w:left="567" w:hanging="567"/>
        <w:rPr>
          <w:rFonts w:cs="Arial"/>
          <w:b/>
        </w:rPr>
      </w:pPr>
      <w:r w:rsidRPr="005E0399">
        <w:rPr>
          <w:rFonts w:cs="Arial"/>
          <w:b/>
        </w:rPr>
        <w:t>Executive Summary</w:t>
      </w:r>
    </w:p>
    <w:p w14:paraId="54B574BF" w14:textId="77777777" w:rsidR="008321DE" w:rsidRPr="005E0399" w:rsidRDefault="008321DE" w:rsidP="008D5D96">
      <w:pPr>
        <w:tabs>
          <w:tab w:val="left" w:pos="567"/>
          <w:tab w:val="left" w:pos="1134"/>
        </w:tabs>
        <w:spacing w:after="0"/>
        <w:rPr>
          <w:rFonts w:cs="Arial"/>
          <w:b/>
        </w:rPr>
      </w:pPr>
    </w:p>
    <w:p w14:paraId="504C9B6D" w14:textId="77777777" w:rsidR="00932C3B" w:rsidRPr="005E0399" w:rsidRDefault="006E0BEE" w:rsidP="008D5D96">
      <w:pPr>
        <w:tabs>
          <w:tab w:val="left" w:pos="567"/>
          <w:tab w:val="left" w:pos="1134"/>
        </w:tabs>
        <w:spacing w:after="0"/>
        <w:rPr>
          <w:rFonts w:cs="Arial"/>
          <w:b/>
        </w:rPr>
      </w:pPr>
      <w:r w:rsidRPr="005E0399">
        <w:rPr>
          <w:rFonts w:cs="Arial"/>
          <w:b/>
        </w:rPr>
        <w:t xml:space="preserve">1.1 </w:t>
      </w:r>
      <w:r w:rsidR="00932C3B" w:rsidRPr="005E0399">
        <w:rPr>
          <w:rFonts w:cs="Arial"/>
          <w:b/>
        </w:rPr>
        <w:t>Introduction</w:t>
      </w:r>
    </w:p>
    <w:p w14:paraId="25F38ED9" w14:textId="77777777" w:rsidR="003D58F1" w:rsidRPr="005E0399" w:rsidRDefault="003D58F1" w:rsidP="008D5D96">
      <w:pPr>
        <w:tabs>
          <w:tab w:val="left" w:pos="567"/>
          <w:tab w:val="left" w:pos="1134"/>
        </w:tabs>
        <w:spacing w:after="0"/>
        <w:rPr>
          <w:rFonts w:cs="Arial"/>
          <w:b/>
        </w:rPr>
      </w:pPr>
    </w:p>
    <w:p w14:paraId="0BBBE40A" w14:textId="77777777" w:rsidR="001A3073" w:rsidRPr="005E0399" w:rsidRDefault="00697D1D" w:rsidP="008D5D96">
      <w:pPr>
        <w:tabs>
          <w:tab w:val="left" w:pos="567"/>
          <w:tab w:val="left" w:pos="1134"/>
        </w:tabs>
        <w:spacing w:after="0"/>
        <w:rPr>
          <w:rFonts w:cs="Arial"/>
        </w:rPr>
      </w:pPr>
      <w:r w:rsidRPr="005E0399">
        <w:rPr>
          <w:rFonts w:cs="Arial"/>
        </w:rPr>
        <w:t xml:space="preserve">This report </w:t>
      </w:r>
      <w:r w:rsidR="004D3311" w:rsidRPr="005E0399">
        <w:rPr>
          <w:rFonts w:cs="Arial"/>
        </w:rPr>
        <w:t>updates</w:t>
      </w:r>
      <w:r w:rsidRPr="005E0399">
        <w:rPr>
          <w:rFonts w:cs="Arial"/>
        </w:rPr>
        <w:t xml:space="preserve"> the financial position facing Lancashire Cou</w:t>
      </w:r>
      <w:r w:rsidR="005E0399">
        <w:rPr>
          <w:rFonts w:cs="Arial"/>
        </w:rPr>
        <w:t>nty Council over the period 2017/18</w:t>
      </w:r>
      <w:r w:rsidRPr="005E0399">
        <w:rPr>
          <w:rFonts w:cs="Arial"/>
        </w:rPr>
        <w:t xml:space="preserve"> to 2020/21. </w:t>
      </w:r>
      <w:r w:rsidR="000C5639" w:rsidRPr="005E0399">
        <w:rPr>
          <w:rFonts w:cs="Arial"/>
        </w:rPr>
        <w:t xml:space="preserve">The </w:t>
      </w:r>
      <w:r w:rsidR="005C4C7C" w:rsidRPr="005E0399">
        <w:rPr>
          <w:rFonts w:cs="Arial"/>
        </w:rPr>
        <w:t xml:space="preserve">County </w:t>
      </w:r>
      <w:r w:rsidR="000C5639" w:rsidRPr="005E0399">
        <w:rPr>
          <w:rFonts w:cs="Arial"/>
        </w:rPr>
        <w:t xml:space="preserve">Council is experiencing an ongoing period of unprecedented financial pressure as a result of the </w:t>
      </w:r>
      <w:r w:rsidR="00B72437" w:rsidRPr="005E0399">
        <w:rPr>
          <w:rFonts w:cs="Arial"/>
        </w:rPr>
        <w:t>G</w:t>
      </w:r>
      <w:r w:rsidR="000C5639" w:rsidRPr="005E0399">
        <w:rPr>
          <w:rFonts w:cs="Arial"/>
        </w:rPr>
        <w:t>overnment's extended programme of austerity combined with significant increases in demand for public services.</w:t>
      </w:r>
      <w:r w:rsidRPr="005E0399">
        <w:rPr>
          <w:rFonts w:cs="Arial"/>
        </w:rPr>
        <w:t xml:space="preserve"> </w:t>
      </w:r>
    </w:p>
    <w:p w14:paraId="422818DE" w14:textId="77777777" w:rsidR="001A3073" w:rsidRPr="005E0399" w:rsidRDefault="001A3073" w:rsidP="008D5D96">
      <w:pPr>
        <w:tabs>
          <w:tab w:val="left" w:pos="567"/>
          <w:tab w:val="left" w:pos="1134"/>
        </w:tabs>
        <w:spacing w:after="0"/>
        <w:rPr>
          <w:rFonts w:cs="Arial"/>
        </w:rPr>
      </w:pPr>
    </w:p>
    <w:p w14:paraId="174ED032" w14:textId="08C03463" w:rsidR="00333713" w:rsidRDefault="00333713" w:rsidP="003D09D8">
      <w:pPr>
        <w:tabs>
          <w:tab w:val="left" w:pos="567"/>
          <w:tab w:val="left" w:pos="1134"/>
        </w:tabs>
        <w:spacing w:after="0"/>
        <w:rPr>
          <w:rFonts w:cs="Arial"/>
        </w:rPr>
      </w:pPr>
      <w:r w:rsidRPr="005E0399">
        <w:rPr>
          <w:rFonts w:cs="Arial"/>
        </w:rPr>
        <w:t xml:space="preserve">Cabinet </w:t>
      </w:r>
      <w:r w:rsidR="00522F1E" w:rsidRPr="005E0399">
        <w:rPr>
          <w:rFonts w:cs="Arial"/>
        </w:rPr>
        <w:t xml:space="preserve">have </w:t>
      </w:r>
      <w:r w:rsidRPr="005E0399">
        <w:rPr>
          <w:rFonts w:cs="Arial"/>
        </w:rPr>
        <w:t>received report</w:t>
      </w:r>
      <w:r w:rsidR="00522F1E" w:rsidRPr="005E0399">
        <w:rPr>
          <w:rFonts w:cs="Arial"/>
        </w:rPr>
        <w:t xml:space="preserve">s </w:t>
      </w:r>
      <w:r w:rsidR="005E0399">
        <w:rPr>
          <w:rFonts w:cs="Arial"/>
        </w:rPr>
        <w:t>throughout the 2015/16 financial year</w:t>
      </w:r>
      <w:r w:rsidRPr="005E0399">
        <w:rPr>
          <w:rFonts w:cs="Arial"/>
        </w:rPr>
        <w:t xml:space="preserve"> </w:t>
      </w:r>
      <w:r w:rsidR="004D3311" w:rsidRPr="005E0399">
        <w:rPr>
          <w:rFonts w:cs="Arial"/>
        </w:rPr>
        <w:t xml:space="preserve">on the </w:t>
      </w:r>
      <w:r w:rsidR="00697D1D" w:rsidRPr="005E0399">
        <w:rPr>
          <w:rFonts w:cs="Arial"/>
        </w:rPr>
        <w:t>MTFS to cover</w:t>
      </w:r>
      <w:r w:rsidR="005E0399">
        <w:rPr>
          <w:rFonts w:cs="Arial"/>
        </w:rPr>
        <w:t xml:space="preserve"> the period 2016/17</w:t>
      </w:r>
      <w:r w:rsidRPr="005E0399">
        <w:rPr>
          <w:rFonts w:cs="Arial"/>
        </w:rPr>
        <w:t xml:space="preserve"> to 2020/21</w:t>
      </w:r>
      <w:r w:rsidR="00FF4EC2">
        <w:rPr>
          <w:rFonts w:cs="Arial"/>
        </w:rPr>
        <w:t xml:space="preserve">. </w:t>
      </w:r>
      <w:r w:rsidR="00D81A94">
        <w:rPr>
          <w:rFonts w:cs="Arial"/>
        </w:rPr>
        <w:t>Th</w:t>
      </w:r>
      <w:r w:rsidR="00FF4EC2">
        <w:rPr>
          <w:rFonts w:cs="Arial"/>
        </w:rPr>
        <w:t xml:space="preserve">e last report that highlighted the </w:t>
      </w:r>
      <w:r w:rsidR="00D81A94">
        <w:rPr>
          <w:rFonts w:cs="Arial"/>
        </w:rPr>
        <w:t>financial gap to M</w:t>
      </w:r>
      <w:r w:rsidR="00FF4EC2">
        <w:rPr>
          <w:rFonts w:cs="Arial"/>
        </w:rPr>
        <w:t>embers</w:t>
      </w:r>
      <w:r w:rsidR="00D81A94">
        <w:rPr>
          <w:rFonts w:cs="Arial"/>
        </w:rPr>
        <w:t xml:space="preserve"> was at Full</w:t>
      </w:r>
      <w:r w:rsidR="00FF4EC2">
        <w:rPr>
          <w:rFonts w:cs="Arial"/>
        </w:rPr>
        <w:t xml:space="preserve"> Council</w:t>
      </w:r>
      <w:r w:rsidR="00D81A94">
        <w:rPr>
          <w:rFonts w:cs="Arial"/>
        </w:rPr>
        <w:t xml:space="preserve"> in February 2016 where</w:t>
      </w:r>
      <w:r w:rsidR="00FF4EC2">
        <w:rPr>
          <w:rFonts w:cs="Arial"/>
        </w:rPr>
        <w:t xml:space="preserve"> the shortfall in funding by 2020/21 was</w:t>
      </w:r>
      <w:r w:rsidR="00D81A94">
        <w:rPr>
          <w:rFonts w:cs="Arial"/>
        </w:rPr>
        <w:t xml:space="preserve"> identified as</w:t>
      </w:r>
      <w:r w:rsidR="00FF4EC2">
        <w:rPr>
          <w:rFonts w:cs="Arial"/>
        </w:rPr>
        <w:t xml:space="preserve"> £194.854m, however following an agreed adjustment at Full Coun</w:t>
      </w:r>
      <w:r w:rsidR="001E485A">
        <w:rPr>
          <w:rFonts w:cs="Arial"/>
        </w:rPr>
        <w:t>cil the revised gap was £196.644</w:t>
      </w:r>
      <w:r w:rsidR="00FF4EC2">
        <w:rPr>
          <w:rFonts w:cs="Arial"/>
        </w:rPr>
        <w:t xml:space="preserve">m. </w:t>
      </w:r>
    </w:p>
    <w:p w14:paraId="1B2551AF" w14:textId="77777777" w:rsidR="00FD51C5" w:rsidRDefault="00FD51C5" w:rsidP="003D09D8">
      <w:pPr>
        <w:tabs>
          <w:tab w:val="left" w:pos="567"/>
          <w:tab w:val="left" w:pos="1134"/>
        </w:tabs>
        <w:spacing w:after="0"/>
        <w:rPr>
          <w:rFonts w:cs="Arial"/>
        </w:rPr>
      </w:pPr>
    </w:p>
    <w:p w14:paraId="0A9D205B" w14:textId="1F72C720" w:rsidR="00FD51C5" w:rsidRDefault="00FD51C5" w:rsidP="003D09D8">
      <w:pPr>
        <w:tabs>
          <w:tab w:val="left" w:pos="567"/>
          <w:tab w:val="left" w:pos="1134"/>
        </w:tabs>
        <w:spacing w:after="0"/>
        <w:rPr>
          <w:rFonts w:cs="Arial"/>
        </w:rPr>
      </w:pPr>
      <w:r>
        <w:rPr>
          <w:rFonts w:cs="Arial"/>
        </w:rPr>
        <w:t xml:space="preserve">Although an underspend of £0.601m was achieved in 2015/16 the County Council is still facing a hugely challenging future with savings of c£100m to achieve as part of the 2016/17 budget and significant additional </w:t>
      </w:r>
      <w:r w:rsidR="00D81A94">
        <w:rPr>
          <w:rFonts w:cs="Arial"/>
        </w:rPr>
        <w:t>inflation</w:t>
      </w:r>
      <w:r>
        <w:rPr>
          <w:rFonts w:cs="Arial"/>
        </w:rPr>
        <w:t xml:space="preserve"> and demand pressures across Children's Social Care, Adults Social Care and Waste Services </w:t>
      </w:r>
      <w:r w:rsidR="00D81A94">
        <w:rPr>
          <w:rFonts w:cs="Arial"/>
        </w:rPr>
        <w:t>which</w:t>
      </w:r>
      <w:r w:rsidR="006715D3">
        <w:rPr>
          <w:rFonts w:cs="Arial"/>
        </w:rPr>
        <w:t xml:space="preserve"> have emerged in recent months</w:t>
      </w:r>
      <w:r>
        <w:rPr>
          <w:rFonts w:cs="Arial"/>
        </w:rPr>
        <w:t xml:space="preserve">. </w:t>
      </w:r>
      <w:r w:rsidRPr="005E0399">
        <w:rPr>
          <w:rFonts w:cs="Arial"/>
        </w:rPr>
        <w:t xml:space="preserve">This report considers the impact of budget decisions taken by Cabinet and updates other assumptions in light of </w:t>
      </w:r>
      <w:r>
        <w:rPr>
          <w:rFonts w:cs="Arial"/>
        </w:rPr>
        <w:t xml:space="preserve">the most </w:t>
      </w:r>
      <w:r w:rsidRPr="005E0399">
        <w:rPr>
          <w:rFonts w:cs="Arial"/>
        </w:rPr>
        <w:t>current information</w:t>
      </w:r>
      <w:r>
        <w:rPr>
          <w:rFonts w:cs="Arial"/>
        </w:rPr>
        <w:t xml:space="preserve"> available</w:t>
      </w:r>
      <w:r w:rsidRPr="005E0399">
        <w:rPr>
          <w:rFonts w:cs="Arial"/>
        </w:rPr>
        <w:t>. As a result of these reviews the funding gap has reduced to £</w:t>
      </w:r>
      <w:r>
        <w:rPr>
          <w:rFonts w:cs="Arial"/>
        </w:rPr>
        <w:t>1</w:t>
      </w:r>
      <w:r w:rsidR="0059655B">
        <w:rPr>
          <w:rFonts w:cs="Arial"/>
        </w:rPr>
        <w:t>47.944</w:t>
      </w:r>
      <w:r w:rsidR="001E485A">
        <w:rPr>
          <w:rFonts w:cs="Arial"/>
        </w:rPr>
        <w:t>m</w:t>
      </w:r>
      <w:r>
        <w:rPr>
          <w:rFonts w:cs="Arial"/>
        </w:rPr>
        <w:t xml:space="preserve">.  Whilst this appears positive overall this </w:t>
      </w:r>
      <w:r w:rsidR="006715D3">
        <w:rPr>
          <w:rFonts w:cs="Arial"/>
        </w:rPr>
        <w:t>reflects different funding assumption</w:t>
      </w:r>
      <w:r w:rsidR="00A60CC4">
        <w:rPr>
          <w:rFonts w:cs="Arial"/>
        </w:rPr>
        <w:t>s</w:t>
      </w:r>
      <w:r w:rsidR="006715D3">
        <w:rPr>
          <w:rFonts w:cs="Arial"/>
        </w:rPr>
        <w:t xml:space="preserve"> to that presented previously in that the impact of a 3.99% increase</w:t>
      </w:r>
      <w:r>
        <w:rPr>
          <w:rFonts w:cs="Arial"/>
        </w:rPr>
        <w:t xml:space="preserve"> (including the 2% Adult Social Care precept) </w:t>
      </w:r>
      <w:r w:rsidR="006715D3">
        <w:rPr>
          <w:rFonts w:cs="Arial"/>
        </w:rPr>
        <w:t>for each of the n</w:t>
      </w:r>
      <w:r>
        <w:rPr>
          <w:rFonts w:cs="Arial"/>
        </w:rPr>
        <w:t>ext 4 financial years</w:t>
      </w:r>
      <w:r w:rsidR="006715D3">
        <w:rPr>
          <w:rFonts w:cs="Arial"/>
        </w:rPr>
        <w:t xml:space="preserve"> is </w:t>
      </w:r>
      <w:r w:rsidR="00A60CC4">
        <w:rPr>
          <w:rFonts w:cs="Arial"/>
        </w:rPr>
        <w:t>included,</w:t>
      </w:r>
      <w:r w:rsidR="006715D3">
        <w:rPr>
          <w:rFonts w:cs="Arial"/>
        </w:rPr>
        <w:t xml:space="preserve"> which is</w:t>
      </w:r>
      <w:r>
        <w:rPr>
          <w:rFonts w:cs="Arial"/>
        </w:rPr>
        <w:t xml:space="preserve"> partially  offset by increasing spending pressures to those previously identified and agreed.</w:t>
      </w:r>
    </w:p>
    <w:p w14:paraId="2992D0A3" w14:textId="77777777" w:rsidR="00D81A94" w:rsidRDefault="00D81A94" w:rsidP="00FD51C5">
      <w:pPr>
        <w:tabs>
          <w:tab w:val="left" w:pos="567"/>
          <w:tab w:val="left" w:pos="1134"/>
        </w:tabs>
        <w:spacing w:after="0"/>
        <w:rPr>
          <w:rFonts w:cs="Arial"/>
        </w:rPr>
      </w:pPr>
    </w:p>
    <w:p w14:paraId="005ABC15" w14:textId="77777777" w:rsidR="00D81A94" w:rsidRDefault="00D81A94" w:rsidP="00FD51C5">
      <w:pPr>
        <w:tabs>
          <w:tab w:val="left" w:pos="567"/>
          <w:tab w:val="left" w:pos="1134"/>
        </w:tabs>
        <w:spacing w:after="0"/>
        <w:rPr>
          <w:rFonts w:cs="Arial"/>
        </w:rPr>
      </w:pPr>
    </w:p>
    <w:p w14:paraId="33EE3451" w14:textId="77777777" w:rsidR="00D81A94" w:rsidRDefault="00D81A94" w:rsidP="00FD51C5">
      <w:pPr>
        <w:tabs>
          <w:tab w:val="left" w:pos="567"/>
          <w:tab w:val="left" w:pos="1134"/>
        </w:tabs>
        <w:spacing w:after="0"/>
        <w:rPr>
          <w:rFonts w:cs="Arial"/>
        </w:rPr>
      </w:pPr>
    </w:p>
    <w:p w14:paraId="5459D43A" w14:textId="77777777" w:rsidR="00D81A94" w:rsidRDefault="00D81A94" w:rsidP="00FD51C5">
      <w:pPr>
        <w:tabs>
          <w:tab w:val="left" w:pos="567"/>
          <w:tab w:val="left" w:pos="1134"/>
        </w:tabs>
        <w:spacing w:after="0"/>
        <w:rPr>
          <w:rFonts w:cs="Arial"/>
        </w:rPr>
      </w:pPr>
    </w:p>
    <w:p w14:paraId="152FA444" w14:textId="77777777" w:rsidR="00D81A94" w:rsidRDefault="00D81A94" w:rsidP="00FD51C5">
      <w:pPr>
        <w:tabs>
          <w:tab w:val="left" w:pos="567"/>
          <w:tab w:val="left" w:pos="1134"/>
        </w:tabs>
        <w:spacing w:after="0"/>
        <w:rPr>
          <w:rFonts w:cs="Arial"/>
        </w:rPr>
      </w:pPr>
    </w:p>
    <w:p w14:paraId="5FBD8D75" w14:textId="77777777" w:rsidR="00D81A94" w:rsidRDefault="00D81A94" w:rsidP="00FD51C5">
      <w:pPr>
        <w:tabs>
          <w:tab w:val="left" w:pos="567"/>
          <w:tab w:val="left" w:pos="1134"/>
        </w:tabs>
        <w:spacing w:after="0"/>
        <w:rPr>
          <w:rFonts w:cs="Arial"/>
        </w:rPr>
      </w:pPr>
    </w:p>
    <w:p w14:paraId="05E8A9A8" w14:textId="77777777" w:rsidR="00D81A94" w:rsidRDefault="00D81A94" w:rsidP="00FD51C5">
      <w:pPr>
        <w:tabs>
          <w:tab w:val="left" w:pos="567"/>
          <w:tab w:val="left" w:pos="1134"/>
        </w:tabs>
        <w:spacing w:after="0"/>
        <w:rPr>
          <w:rFonts w:cs="Arial"/>
        </w:rPr>
      </w:pPr>
    </w:p>
    <w:p w14:paraId="49C157F0" w14:textId="77777777" w:rsidR="00D81A94" w:rsidRDefault="00D81A94" w:rsidP="00FD51C5">
      <w:pPr>
        <w:tabs>
          <w:tab w:val="left" w:pos="567"/>
          <w:tab w:val="left" w:pos="1134"/>
        </w:tabs>
        <w:spacing w:after="0"/>
        <w:rPr>
          <w:rFonts w:cs="Arial"/>
        </w:rPr>
      </w:pPr>
    </w:p>
    <w:p w14:paraId="19577E16" w14:textId="77777777" w:rsidR="00D81A94" w:rsidRDefault="00D81A94" w:rsidP="00FD51C5">
      <w:pPr>
        <w:tabs>
          <w:tab w:val="left" w:pos="567"/>
          <w:tab w:val="left" w:pos="1134"/>
        </w:tabs>
        <w:spacing w:after="0"/>
        <w:rPr>
          <w:rFonts w:cs="Arial"/>
        </w:rPr>
      </w:pPr>
    </w:p>
    <w:p w14:paraId="4C8CDB0C" w14:textId="77777777" w:rsidR="00D81A94" w:rsidRDefault="00D81A94" w:rsidP="00FD51C5">
      <w:pPr>
        <w:tabs>
          <w:tab w:val="left" w:pos="567"/>
          <w:tab w:val="left" w:pos="1134"/>
        </w:tabs>
        <w:spacing w:after="0"/>
        <w:rPr>
          <w:rFonts w:cs="Arial"/>
        </w:rPr>
      </w:pPr>
    </w:p>
    <w:p w14:paraId="52BC3905" w14:textId="77777777" w:rsidR="00D81A94" w:rsidRDefault="00D81A94" w:rsidP="00FD51C5">
      <w:pPr>
        <w:tabs>
          <w:tab w:val="left" w:pos="567"/>
          <w:tab w:val="left" w:pos="1134"/>
        </w:tabs>
        <w:spacing w:after="0"/>
        <w:rPr>
          <w:rFonts w:cs="Arial"/>
        </w:rPr>
      </w:pPr>
    </w:p>
    <w:p w14:paraId="19E4509B" w14:textId="77777777" w:rsidR="00D81A94" w:rsidRDefault="00D81A94" w:rsidP="00FD51C5">
      <w:pPr>
        <w:tabs>
          <w:tab w:val="left" w:pos="567"/>
          <w:tab w:val="left" w:pos="1134"/>
        </w:tabs>
        <w:spacing w:after="0"/>
        <w:rPr>
          <w:rFonts w:cs="Arial"/>
        </w:rPr>
      </w:pPr>
    </w:p>
    <w:p w14:paraId="66F51157" w14:textId="77777777" w:rsidR="00D81A94" w:rsidRDefault="00D81A94" w:rsidP="00FD51C5">
      <w:pPr>
        <w:tabs>
          <w:tab w:val="left" w:pos="567"/>
          <w:tab w:val="left" w:pos="1134"/>
        </w:tabs>
        <w:spacing w:after="0"/>
        <w:rPr>
          <w:rFonts w:cs="Arial"/>
        </w:rPr>
      </w:pPr>
    </w:p>
    <w:p w14:paraId="62A717EF" w14:textId="77777777" w:rsidR="00D81A94" w:rsidRDefault="00D81A94" w:rsidP="00FD51C5">
      <w:pPr>
        <w:tabs>
          <w:tab w:val="left" w:pos="567"/>
          <w:tab w:val="left" w:pos="1134"/>
        </w:tabs>
        <w:spacing w:after="0"/>
        <w:rPr>
          <w:rFonts w:cs="Arial"/>
        </w:rPr>
      </w:pPr>
    </w:p>
    <w:p w14:paraId="3F4E2A27" w14:textId="77777777" w:rsidR="00D81A94" w:rsidRDefault="00D81A94" w:rsidP="00FD51C5">
      <w:pPr>
        <w:tabs>
          <w:tab w:val="left" w:pos="567"/>
          <w:tab w:val="left" w:pos="1134"/>
        </w:tabs>
        <w:spacing w:after="0"/>
        <w:rPr>
          <w:rFonts w:cs="Arial"/>
        </w:rPr>
      </w:pPr>
    </w:p>
    <w:p w14:paraId="34B3FD73" w14:textId="77777777" w:rsidR="00D81A94" w:rsidRDefault="00D81A94" w:rsidP="00FD51C5">
      <w:pPr>
        <w:tabs>
          <w:tab w:val="left" w:pos="567"/>
          <w:tab w:val="left" w:pos="1134"/>
        </w:tabs>
        <w:spacing w:after="0"/>
        <w:rPr>
          <w:rFonts w:cs="Arial"/>
        </w:rPr>
      </w:pPr>
    </w:p>
    <w:p w14:paraId="780EF21A" w14:textId="77777777" w:rsidR="00D81A94" w:rsidRDefault="00D81A94" w:rsidP="00FD51C5">
      <w:pPr>
        <w:tabs>
          <w:tab w:val="left" w:pos="567"/>
          <w:tab w:val="left" w:pos="1134"/>
        </w:tabs>
        <w:spacing w:after="0"/>
        <w:rPr>
          <w:rFonts w:cs="Arial"/>
        </w:rPr>
      </w:pPr>
    </w:p>
    <w:p w14:paraId="706ABAAA" w14:textId="77777777" w:rsidR="00D81A94" w:rsidRDefault="00D81A94" w:rsidP="00FD51C5">
      <w:pPr>
        <w:tabs>
          <w:tab w:val="left" w:pos="567"/>
          <w:tab w:val="left" w:pos="1134"/>
        </w:tabs>
        <w:spacing w:after="0"/>
        <w:rPr>
          <w:rFonts w:cs="Arial"/>
        </w:rPr>
      </w:pPr>
    </w:p>
    <w:p w14:paraId="49880943" w14:textId="77777777" w:rsidR="00D81A94" w:rsidRDefault="00D81A94" w:rsidP="00FD51C5">
      <w:pPr>
        <w:tabs>
          <w:tab w:val="left" w:pos="567"/>
          <w:tab w:val="left" w:pos="1134"/>
        </w:tabs>
        <w:spacing w:after="0"/>
        <w:rPr>
          <w:rFonts w:cs="Arial"/>
        </w:rPr>
      </w:pPr>
    </w:p>
    <w:p w14:paraId="02D832C6" w14:textId="77777777" w:rsidR="00D81A94" w:rsidRDefault="00D81A94" w:rsidP="00FD51C5">
      <w:pPr>
        <w:tabs>
          <w:tab w:val="left" w:pos="567"/>
          <w:tab w:val="left" w:pos="1134"/>
        </w:tabs>
        <w:spacing w:after="0"/>
        <w:rPr>
          <w:rFonts w:cs="Arial"/>
        </w:rPr>
      </w:pPr>
    </w:p>
    <w:p w14:paraId="3B208AD4" w14:textId="77777777" w:rsidR="00D81A94" w:rsidRDefault="00D81A94" w:rsidP="00FD51C5">
      <w:pPr>
        <w:tabs>
          <w:tab w:val="left" w:pos="567"/>
          <w:tab w:val="left" w:pos="1134"/>
        </w:tabs>
        <w:spacing w:after="0"/>
        <w:rPr>
          <w:rFonts w:cs="Arial"/>
        </w:rPr>
      </w:pPr>
    </w:p>
    <w:p w14:paraId="00BB4536" w14:textId="03A42A76" w:rsidR="00791642" w:rsidRPr="00D81A94" w:rsidRDefault="00D81A94" w:rsidP="00D81A94">
      <w:pPr>
        <w:pStyle w:val="NoSpacing"/>
        <w:rPr>
          <w:rFonts w:cs="Arial"/>
        </w:rPr>
      </w:pPr>
      <w:r>
        <w:rPr>
          <w:rFonts w:cs="Arial"/>
        </w:rPr>
        <w:lastRenderedPageBreak/>
        <w:t>The table below provides a detailed analysis and movements between the previously reported financial gap and the revised financial gap:</w:t>
      </w:r>
    </w:p>
    <w:p w14:paraId="6A7AC9FF" w14:textId="77777777" w:rsidR="00D81A94" w:rsidRPr="00791642" w:rsidRDefault="00D81A94" w:rsidP="00D81A94">
      <w:pPr>
        <w:pStyle w:val="NoSpacing"/>
        <w:rPr>
          <w:rFonts w:cs="Arial"/>
          <w:b/>
        </w:rPr>
      </w:pPr>
    </w:p>
    <w:tbl>
      <w:tblPr>
        <w:tblStyle w:val="TableGrid"/>
        <w:tblW w:w="9823" w:type="dxa"/>
        <w:jc w:val="center"/>
        <w:tblLayout w:type="fixed"/>
        <w:tblLook w:val="04A0" w:firstRow="1" w:lastRow="0" w:firstColumn="1" w:lastColumn="0" w:noHBand="0" w:noVBand="1"/>
      </w:tblPr>
      <w:tblGrid>
        <w:gridCol w:w="3403"/>
        <w:gridCol w:w="1284"/>
        <w:gridCol w:w="1284"/>
        <w:gridCol w:w="1284"/>
        <w:gridCol w:w="1284"/>
        <w:gridCol w:w="1284"/>
      </w:tblGrid>
      <w:tr w:rsidR="00791642" w:rsidRPr="00791642" w14:paraId="1BF60706" w14:textId="6E4558A2" w:rsidTr="00791642">
        <w:trPr>
          <w:trHeight w:val="593"/>
          <w:jc w:val="center"/>
        </w:trPr>
        <w:tc>
          <w:tcPr>
            <w:tcW w:w="3403" w:type="dxa"/>
            <w:shd w:val="clear" w:color="auto" w:fill="BFBFBF" w:themeFill="background1" w:themeFillShade="BF"/>
            <w:vAlign w:val="center"/>
          </w:tcPr>
          <w:p w14:paraId="56DD0059" w14:textId="77777777" w:rsidR="00791642" w:rsidRPr="00791642" w:rsidRDefault="00791642" w:rsidP="00791642">
            <w:pPr>
              <w:pStyle w:val="NoSpacing"/>
              <w:jc w:val="center"/>
              <w:rPr>
                <w:rFonts w:cs="Arial"/>
                <w:b/>
              </w:rPr>
            </w:pPr>
          </w:p>
        </w:tc>
        <w:tc>
          <w:tcPr>
            <w:tcW w:w="1284" w:type="dxa"/>
            <w:shd w:val="clear" w:color="auto" w:fill="BFBFBF" w:themeFill="background1" w:themeFillShade="BF"/>
            <w:vAlign w:val="center"/>
          </w:tcPr>
          <w:p w14:paraId="776345A3" w14:textId="77777777" w:rsidR="00791642" w:rsidRPr="00CD1DFD" w:rsidRDefault="00791642" w:rsidP="00791642">
            <w:pPr>
              <w:pStyle w:val="NoSpacing"/>
              <w:jc w:val="center"/>
              <w:rPr>
                <w:rFonts w:cs="Arial"/>
                <w:b/>
              </w:rPr>
            </w:pPr>
            <w:r w:rsidRPr="00CD1DFD">
              <w:rPr>
                <w:rFonts w:cs="Arial"/>
                <w:b/>
              </w:rPr>
              <w:t>2017/18</w:t>
            </w:r>
          </w:p>
          <w:p w14:paraId="36736491" w14:textId="77777777" w:rsidR="00791642" w:rsidRPr="00CD1DFD" w:rsidRDefault="00791642" w:rsidP="00791642">
            <w:pPr>
              <w:pStyle w:val="NoSpacing"/>
              <w:jc w:val="center"/>
              <w:rPr>
                <w:rFonts w:cs="Arial"/>
                <w:b/>
              </w:rPr>
            </w:pPr>
            <w:r w:rsidRPr="00CD1DFD">
              <w:rPr>
                <w:rFonts w:cs="Arial"/>
                <w:b/>
              </w:rPr>
              <w:t>£m</w:t>
            </w:r>
          </w:p>
        </w:tc>
        <w:tc>
          <w:tcPr>
            <w:tcW w:w="1284" w:type="dxa"/>
            <w:shd w:val="clear" w:color="auto" w:fill="BFBFBF" w:themeFill="background1" w:themeFillShade="BF"/>
            <w:vAlign w:val="center"/>
          </w:tcPr>
          <w:p w14:paraId="03E5ED50" w14:textId="77777777" w:rsidR="00791642" w:rsidRPr="00CD1DFD" w:rsidRDefault="00791642" w:rsidP="00791642">
            <w:pPr>
              <w:pStyle w:val="NoSpacing"/>
              <w:jc w:val="center"/>
              <w:rPr>
                <w:rFonts w:cs="Arial"/>
                <w:b/>
              </w:rPr>
            </w:pPr>
            <w:r w:rsidRPr="00CD1DFD">
              <w:rPr>
                <w:rFonts w:cs="Arial"/>
                <w:b/>
              </w:rPr>
              <w:t>2018/19</w:t>
            </w:r>
          </w:p>
          <w:p w14:paraId="26CDD95A" w14:textId="77777777" w:rsidR="00791642" w:rsidRPr="00CD1DFD" w:rsidRDefault="00791642" w:rsidP="00791642">
            <w:pPr>
              <w:pStyle w:val="NoSpacing"/>
              <w:jc w:val="center"/>
              <w:rPr>
                <w:rFonts w:cs="Arial"/>
                <w:b/>
              </w:rPr>
            </w:pPr>
            <w:r w:rsidRPr="00CD1DFD">
              <w:rPr>
                <w:rFonts w:cs="Arial"/>
                <w:b/>
              </w:rPr>
              <w:t>£m</w:t>
            </w:r>
          </w:p>
        </w:tc>
        <w:tc>
          <w:tcPr>
            <w:tcW w:w="1284" w:type="dxa"/>
            <w:shd w:val="clear" w:color="auto" w:fill="BFBFBF" w:themeFill="background1" w:themeFillShade="BF"/>
            <w:vAlign w:val="center"/>
          </w:tcPr>
          <w:p w14:paraId="42180984" w14:textId="77777777" w:rsidR="00791642" w:rsidRPr="00CD1DFD" w:rsidRDefault="00791642" w:rsidP="00791642">
            <w:pPr>
              <w:pStyle w:val="NoSpacing"/>
              <w:jc w:val="center"/>
              <w:rPr>
                <w:rFonts w:cs="Arial"/>
                <w:b/>
              </w:rPr>
            </w:pPr>
            <w:r w:rsidRPr="00CD1DFD">
              <w:rPr>
                <w:rFonts w:cs="Arial"/>
                <w:b/>
              </w:rPr>
              <w:t>2019/20</w:t>
            </w:r>
          </w:p>
          <w:p w14:paraId="2F31F328" w14:textId="77777777" w:rsidR="00791642" w:rsidRPr="00CD1DFD" w:rsidRDefault="00791642" w:rsidP="00791642">
            <w:pPr>
              <w:pStyle w:val="NoSpacing"/>
              <w:jc w:val="center"/>
              <w:rPr>
                <w:rFonts w:cs="Arial"/>
                <w:b/>
              </w:rPr>
            </w:pPr>
            <w:r w:rsidRPr="00CD1DFD">
              <w:rPr>
                <w:rFonts w:cs="Arial"/>
                <w:b/>
              </w:rPr>
              <w:t>£m</w:t>
            </w:r>
          </w:p>
        </w:tc>
        <w:tc>
          <w:tcPr>
            <w:tcW w:w="1284" w:type="dxa"/>
            <w:shd w:val="clear" w:color="auto" w:fill="BFBFBF" w:themeFill="background1" w:themeFillShade="BF"/>
            <w:vAlign w:val="center"/>
          </w:tcPr>
          <w:p w14:paraId="2A4A1615" w14:textId="77777777" w:rsidR="00791642" w:rsidRPr="00CD1DFD" w:rsidRDefault="00791642" w:rsidP="00791642">
            <w:pPr>
              <w:pStyle w:val="NoSpacing"/>
              <w:jc w:val="center"/>
              <w:rPr>
                <w:rFonts w:cs="Arial"/>
                <w:b/>
              </w:rPr>
            </w:pPr>
            <w:r w:rsidRPr="00CD1DFD">
              <w:rPr>
                <w:rFonts w:cs="Arial"/>
                <w:b/>
              </w:rPr>
              <w:t>2020/21</w:t>
            </w:r>
          </w:p>
          <w:p w14:paraId="773DE138" w14:textId="77777777" w:rsidR="00791642" w:rsidRPr="00CD1DFD" w:rsidRDefault="00791642" w:rsidP="00791642">
            <w:pPr>
              <w:pStyle w:val="NoSpacing"/>
              <w:jc w:val="center"/>
              <w:rPr>
                <w:rFonts w:cs="Arial"/>
                <w:b/>
              </w:rPr>
            </w:pPr>
            <w:r w:rsidRPr="00CD1DFD">
              <w:rPr>
                <w:rFonts w:cs="Arial"/>
                <w:b/>
              </w:rPr>
              <w:t>£m</w:t>
            </w:r>
          </w:p>
        </w:tc>
        <w:tc>
          <w:tcPr>
            <w:tcW w:w="1284" w:type="dxa"/>
            <w:shd w:val="clear" w:color="auto" w:fill="BFBFBF" w:themeFill="background1" w:themeFillShade="BF"/>
          </w:tcPr>
          <w:p w14:paraId="09E950FF" w14:textId="77777777" w:rsidR="00791642" w:rsidRPr="00791642" w:rsidRDefault="00791642" w:rsidP="00791642">
            <w:pPr>
              <w:pStyle w:val="NoSpacing"/>
              <w:jc w:val="center"/>
              <w:rPr>
                <w:rFonts w:cs="Arial"/>
                <w:b/>
              </w:rPr>
            </w:pPr>
            <w:r w:rsidRPr="00791642">
              <w:rPr>
                <w:rFonts w:cs="Arial"/>
                <w:b/>
              </w:rPr>
              <w:t xml:space="preserve">Total </w:t>
            </w:r>
          </w:p>
          <w:p w14:paraId="75662846" w14:textId="421C0CC3" w:rsidR="00791642" w:rsidRPr="00791642" w:rsidRDefault="00791642" w:rsidP="00791642">
            <w:pPr>
              <w:pStyle w:val="NoSpacing"/>
              <w:jc w:val="center"/>
              <w:rPr>
                <w:rFonts w:cs="Arial"/>
                <w:b/>
              </w:rPr>
            </w:pPr>
            <w:r w:rsidRPr="00791642">
              <w:rPr>
                <w:rFonts w:cs="Arial"/>
                <w:b/>
              </w:rPr>
              <w:t>£m</w:t>
            </w:r>
          </w:p>
        </w:tc>
      </w:tr>
      <w:tr w:rsidR="00791642" w:rsidRPr="00791642" w14:paraId="758E9B38" w14:textId="6B23F525" w:rsidTr="001E485A">
        <w:trPr>
          <w:trHeight w:val="552"/>
          <w:jc w:val="center"/>
        </w:trPr>
        <w:tc>
          <w:tcPr>
            <w:tcW w:w="3403" w:type="dxa"/>
            <w:vAlign w:val="center"/>
          </w:tcPr>
          <w:p w14:paraId="48783763" w14:textId="477BAC36" w:rsidR="00791642" w:rsidRPr="00791642" w:rsidRDefault="00791642" w:rsidP="00791642">
            <w:pPr>
              <w:pStyle w:val="NoSpacing"/>
              <w:rPr>
                <w:rFonts w:cs="Arial"/>
                <w:b/>
              </w:rPr>
            </w:pPr>
            <w:r w:rsidRPr="00791642">
              <w:rPr>
                <w:rFonts w:cs="Arial"/>
                <w:b/>
              </w:rPr>
              <w:t>Spending Gap as reported to Full Council February 2016</w:t>
            </w:r>
          </w:p>
        </w:tc>
        <w:tc>
          <w:tcPr>
            <w:tcW w:w="1284" w:type="dxa"/>
            <w:vAlign w:val="center"/>
          </w:tcPr>
          <w:p w14:paraId="46F1B25F" w14:textId="71CF28C2" w:rsidR="00791642" w:rsidRPr="00791642" w:rsidRDefault="00791642" w:rsidP="00791642">
            <w:pPr>
              <w:pStyle w:val="NoSpacing"/>
              <w:jc w:val="center"/>
              <w:rPr>
                <w:rFonts w:cs="Arial"/>
              </w:rPr>
            </w:pPr>
            <w:r w:rsidRPr="00791642">
              <w:rPr>
                <w:rFonts w:cs="Arial"/>
              </w:rPr>
              <w:t>46.518</w:t>
            </w:r>
          </w:p>
        </w:tc>
        <w:tc>
          <w:tcPr>
            <w:tcW w:w="1284" w:type="dxa"/>
            <w:vAlign w:val="center"/>
          </w:tcPr>
          <w:p w14:paraId="4154C572" w14:textId="57DA69F7" w:rsidR="00791642" w:rsidRPr="00791642" w:rsidRDefault="00791642" w:rsidP="00791642">
            <w:pPr>
              <w:pStyle w:val="NoSpacing"/>
              <w:jc w:val="center"/>
              <w:rPr>
                <w:rFonts w:cs="Arial"/>
              </w:rPr>
            </w:pPr>
            <w:r w:rsidRPr="00791642">
              <w:rPr>
                <w:rFonts w:cs="Arial"/>
              </w:rPr>
              <w:t>51.733</w:t>
            </w:r>
          </w:p>
        </w:tc>
        <w:tc>
          <w:tcPr>
            <w:tcW w:w="1284" w:type="dxa"/>
            <w:vAlign w:val="center"/>
          </w:tcPr>
          <w:p w14:paraId="6C278592" w14:textId="767970E7" w:rsidR="00791642" w:rsidRPr="00791642" w:rsidRDefault="00791642" w:rsidP="00791642">
            <w:pPr>
              <w:pStyle w:val="NoSpacing"/>
              <w:jc w:val="center"/>
              <w:rPr>
                <w:rFonts w:cs="Arial"/>
              </w:rPr>
            </w:pPr>
            <w:r w:rsidRPr="00791642">
              <w:rPr>
                <w:rFonts w:cs="Arial"/>
              </w:rPr>
              <w:t>50.614</w:t>
            </w:r>
          </w:p>
        </w:tc>
        <w:tc>
          <w:tcPr>
            <w:tcW w:w="1284" w:type="dxa"/>
            <w:vAlign w:val="center"/>
          </w:tcPr>
          <w:p w14:paraId="433C261A" w14:textId="493F93FE" w:rsidR="00791642" w:rsidRPr="00791642" w:rsidRDefault="00791642" w:rsidP="00791642">
            <w:pPr>
              <w:pStyle w:val="NoSpacing"/>
              <w:jc w:val="center"/>
              <w:rPr>
                <w:rFonts w:cs="Arial"/>
              </w:rPr>
            </w:pPr>
            <w:r w:rsidRPr="00791642">
              <w:rPr>
                <w:rFonts w:cs="Arial"/>
              </w:rPr>
              <w:t>47.779</w:t>
            </w:r>
          </w:p>
        </w:tc>
        <w:tc>
          <w:tcPr>
            <w:tcW w:w="1284" w:type="dxa"/>
            <w:vAlign w:val="center"/>
          </w:tcPr>
          <w:p w14:paraId="5D80860C" w14:textId="306D26C4" w:rsidR="00791642" w:rsidRPr="00791642" w:rsidRDefault="00791642" w:rsidP="001E485A">
            <w:pPr>
              <w:pStyle w:val="NoSpacing"/>
              <w:jc w:val="center"/>
              <w:rPr>
                <w:rFonts w:cs="Arial"/>
                <w:b/>
              </w:rPr>
            </w:pPr>
            <w:r w:rsidRPr="00791642">
              <w:rPr>
                <w:rFonts w:cs="Arial"/>
                <w:b/>
              </w:rPr>
              <w:t>196.644</w:t>
            </w:r>
          </w:p>
        </w:tc>
      </w:tr>
      <w:tr w:rsidR="00791642" w:rsidRPr="00791642" w14:paraId="7CD71161" w14:textId="26A37312" w:rsidTr="001E485A">
        <w:trPr>
          <w:trHeight w:val="552"/>
          <w:jc w:val="center"/>
        </w:trPr>
        <w:tc>
          <w:tcPr>
            <w:tcW w:w="3403" w:type="dxa"/>
            <w:shd w:val="clear" w:color="auto" w:fill="BFBFBF" w:themeFill="background1" w:themeFillShade="BF"/>
            <w:vAlign w:val="center"/>
          </w:tcPr>
          <w:p w14:paraId="7AE5A322" w14:textId="320C4923" w:rsidR="00791642" w:rsidRPr="00791642" w:rsidRDefault="00791642" w:rsidP="00791642">
            <w:pPr>
              <w:pStyle w:val="NoSpacing"/>
              <w:rPr>
                <w:rFonts w:cs="Arial"/>
              </w:rPr>
            </w:pPr>
            <w:r>
              <w:rPr>
                <w:rFonts w:cs="Arial"/>
              </w:rPr>
              <w:t>Add change to forecast of spending:</w:t>
            </w:r>
          </w:p>
        </w:tc>
        <w:tc>
          <w:tcPr>
            <w:tcW w:w="1284" w:type="dxa"/>
            <w:shd w:val="clear" w:color="auto" w:fill="BFBFBF" w:themeFill="background1" w:themeFillShade="BF"/>
            <w:vAlign w:val="center"/>
          </w:tcPr>
          <w:p w14:paraId="56B04FDA" w14:textId="19607CF2" w:rsidR="00791642" w:rsidRPr="00791642" w:rsidRDefault="00791642" w:rsidP="00791642">
            <w:pPr>
              <w:pStyle w:val="NoSpacing"/>
              <w:jc w:val="center"/>
              <w:rPr>
                <w:rFonts w:cs="Arial"/>
              </w:rPr>
            </w:pPr>
          </w:p>
        </w:tc>
        <w:tc>
          <w:tcPr>
            <w:tcW w:w="1284" w:type="dxa"/>
            <w:shd w:val="clear" w:color="auto" w:fill="BFBFBF" w:themeFill="background1" w:themeFillShade="BF"/>
            <w:vAlign w:val="center"/>
          </w:tcPr>
          <w:p w14:paraId="44F44BD1" w14:textId="7F2A6B3A" w:rsidR="00791642" w:rsidRPr="00791642" w:rsidRDefault="00791642" w:rsidP="00791642">
            <w:pPr>
              <w:pStyle w:val="NoSpacing"/>
              <w:jc w:val="center"/>
              <w:rPr>
                <w:rFonts w:cs="Arial"/>
              </w:rPr>
            </w:pPr>
          </w:p>
        </w:tc>
        <w:tc>
          <w:tcPr>
            <w:tcW w:w="1284" w:type="dxa"/>
            <w:shd w:val="clear" w:color="auto" w:fill="BFBFBF" w:themeFill="background1" w:themeFillShade="BF"/>
            <w:vAlign w:val="center"/>
          </w:tcPr>
          <w:p w14:paraId="6B0D60CC" w14:textId="71204CAD" w:rsidR="00791642" w:rsidRPr="00791642" w:rsidRDefault="00791642" w:rsidP="00791642">
            <w:pPr>
              <w:pStyle w:val="NoSpacing"/>
              <w:jc w:val="center"/>
              <w:rPr>
                <w:rFonts w:cs="Arial"/>
              </w:rPr>
            </w:pPr>
          </w:p>
        </w:tc>
        <w:tc>
          <w:tcPr>
            <w:tcW w:w="1284" w:type="dxa"/>
            <w:shd w:val="clear" w:color="auto" w:fill="BFBFBF" w:themeFill="background1" w:themeFillShade="BF"/>
            <w:vAlign w:val="center"/>
          </w:tcPr>
          <w:p w14:paraId="7B476412" w14:textId="1C5E84FB" w:rsidR="00791642" w:rsidRPr="00791642" w:rsidRDefault="00791642" w:rsidP="00791642">
            <w:pPr>
              <w:pStyle w:val="NoSpacing"/>
              <w:jc w:val="center"/>
              <w:rPr>
                <w:rFonts w:cs="Arial"/>
              </w:rPr>
            </w:pPr>
          </w:p>
        </w:tc>
        <w:tc>
          <w:tcPr>
            <w:tcW w:w="1284" w:type="dxa"/>
            <w:shd w:val="clear" w:color="auto" w:fill="BFBFBF" w:themeFill="background1" w:themeFillShade="BF"/>
            <w:vAlign w:val="center"/>
          </w:tcPr>
          <w:p w14:paraId="678244EA" w14:textId="77777777" w:rsidR="00791642" w:rsidRPr="00791642" w:rsidRDefault="00791642" w:rsidP="001E485A">
            <w:pPr>
              <w:pStyle w:val="NoSpacing"/>
              <w:jc w:val="center"/>
              <w:rPr>
                <w:rFonts w:cs="Arial"/>
                <w:b/>
              </w:rPr>
            </w:pPr>
          </w:p>
        </w:tc>
      </w:tr>
      <w:tr w:rsidR="00791642" w:rsidRPr="00791642" w14:paraId="0F8FA0E2" w14:textId="0B9ABAE0" w:rsidTr="001E485A">
        <w:trPr>
          <w:trHeight w:val="552"/>
          <w:jc w:val="center"/>
        </w:trPr>
        <w:tc>
          <w:tcPr>
            <w:tcW w:w="3403" w:type="dxa"/>
            <w:vAlign w:val="center"/>
          </w:tcPr>
          <w:p w14:paraId="61C2A667" w14:textId="32BBF31A" w:rsidR="00791642" w:rsidRPr="00791642" w:rsidRDefault="00791642" w:rsidP="00791642">
            <w:pPr>
              <w:pStyle w:val="NoSpacing"/>
              <w:rPr>
                <w:rFonts w:cs="Arial"/>
              </w:rPr>
            </w:pPr>
            <w:r>
              <w:rPr>
                <w:rFonts w:cs="Arial"/>
              </w:rPr>
              <w:t>Pay and Pensions</w:t>
            </w:r>
          </w:p>
        </w:tc>
        <w:tc>
          <w:tcPr>
            <w:tcW w:w="1284" w:type="dxa"/>
            <w:vAlign w:val="center"/>
          </w:tcPr>
          <w:p w14:paraId="0376BA7A" w14:textId="329F6D90" w:rsidR="00791642" w:rsidRPr="00791642" w:rsidRDefault="00791642" w:rsidP="00791642">
            <w:pPr>
              <w:pStyle w:val="NoSpacing"/>
              <w:jc w:val="center"/>
              <w:rPr>
                <w:rFonts w:cs="Arial"/>
              </w:rPr>
            </w:pPr>
            <w:r>
              <w:rPr>
                <w:rFonts w:cs="Arial"/>
              </w:rPr>
              <w:t>1.297</w:t>
            </w:r>
          </w:p>
        </w:tc>
        <w:tc>
          <w:tcPr>
            <w:tcW w:w="1284" w:type="dxa"/>
            <w:vAlign w:val="center"/>
          </w:tcPr>
          <w:p w14:paraId="7CDC93DD" w14:textId="293B056E" w:rsidR="00791642" w:rsidRPr="00791642" w:rsidRDefault="00791642" w:rsidP="00791642">
            <w:pPr>
              <w:pStyle w:val="NoSpacing"/>
              <w:jc w:val="center"/>
              <w:rPr>
                <w:rFonts w:cs="Arial"/>
              </w:rPr>
            </w:pPr>
            <w:r>
              <w:rPr>
                <w:rFonts w:cs="Arial"/>
              </w:rPr>
              <w:t>1.841</w:t>
            </w:r>
          </w:p>
        </w:tc>
        <w:tc>
          <w:tcPr>
            <w:tcW w:w="1284" w:type="dxa"/>
            <w:vAlign w:val="center"/>
          </w:tcPr>
          <w:p w14:paraId="3521724F" w14:textId="584C17D0" w:rsidR="00791642" w:rsidRPr="00791642" w:rsidRDefault="00791642" w:rsidP="00791642">
            <w:pPr>
              <w:pStyle w:val="NoSpacing"/>
              <w:jc w:val="center"/>
              <w:rPr>
                <w:rFonts w:cs="Arial"/>
              </w:rPr>
            </w:pPr>
            <w:r>
              <w:rPr>
                <w:rFonts w:cs="Arial"/>
              </w:rPr>
              <w:t>1.764</w:t>
            </w:r>
          </w:p>
        </w:tc>
        <w:tc>
          <w:tcPr>
            <w:tcW w:w="1284" w:type="dxa"/>
            <w:vAlign w:val="center"/>
          </w:tcPr>
          <w:p w14:paraId="5F2AFF43" w14:textId="7A3A7202" w:rsidR="00791642" w:rsidRPr="00791642" w:rsidRDefault="00791642" w:rsidP="00791642">
            <w:pPr>
              <w:pStyle w:val="NoSpacing"/>
              <w:jc w:val="center"/>
              <w:rPr>
                <w:rFonts w:cs="Arial"/>
              </w:rPr>
            </w:pPr>
            <w:r>
              <w:rPr>
                <w:rFonts w:cs="Arial"/>
              </w:rPr>
              <w:t>2.261</w:t>
            </w:r>
          </w:p>
        </w:tc>
        <w:tc>
          <w:tcPr>
            <w:tcW w:w="1284" w:type="dxa"/>
            <w:vAlign w:val="center"/>
          </w:tcPr>
          <w:p w14:paraId="49FFCC23" w14:textId="2F34A2B3" w:rsidR="00791642" w:rsidRPr="00791642" w:rsidRDefault="00791642" w:rsidP="001E485A">
            <w:pPr>
              <w:pStyle w:val="NoSpacing"/>
              <w:contextualSpacing/>
              <w:jc w:val="center"/>
              <w:rPr>
                <w:rFonts w:cs="Arial"/>
                <w:b/>
              </w:rPr>
            </w:pPr>
            <w:r>
              <w:rPr>
                <w:rFonts w:cs="Arial"/>
                <w:b/>
              </w:rPr>
              <w:t>7.163</w:t>
            </w:r>
          </w:p>
        </w:tc>
      </w:tr>
      <w:tr w:rsidR="00791642" w:rsidRPr="00791642" w14:paraId="1A6010B8" w14:textId="75472D5C" w:rsidTr="001E485A">
        <w:trPr>
          <w:trHeight w:val="552"/>
          <w:jc w:val="center"/>
        </w:trPr>
        <w:tc>
          <w:tcPr>
            <w:tcW w:w="3403" w:type="dxa"/>
            <w:vAlign w:val="center"/>
          </w:tcPr>
          <w:p w14:paraId="141BB507" w14:textId="52FBFA10" w:rsidR="00791642" w:rsidRPr="00791642" w:rsidRDefault="00F10592" w:rsidP="00791642">
            <w:pPr>
              <w:pStyle w:val="NoSpacing"/>
              <w:rPr>
                <w:rFonts w:cs="Arial"/>
              </w:rPr>
            </w:pPr>
            <w:r>
              <w:rPr>
                <w:rFonts w:cs="Arial"/>
              </w:rPr>
              <w:t xml:space="preserve">Price </w:t>
            </w:r>
            <w:r w:rsidR="00791642" w:rsidRPr="00791642">
              <w:rPr>
                <w:rFonts w:cs="Arial"/>
              </w:rPr>
              <w:t>Inflation and Cost Changes</w:t>
            </w:r>
          </w:p>
        </w:tc>
        <w:tc>
          <w:tcPr>
            <w:tcW w:w="1284" w:type="dxa"/>
            <w:vAlign w:val="center"/>
          </w:tcPr>
          <w:p w14:paraId="05FC867E" w14:textId="1EB174B0" w:rsidR="00791642" w:rsidRPr="00791642" w:rsidRDefault="00791642" w:rsidP="00791642">
            <w:pPr>
              <w:pStyle w:val="NoSpacing"/>
              <w:jc w:val="center"/>
              <w:rPr>
                <w:rFonts w:cs="Arial"/>
              </w:rPr>
            </w:pPr>
            <w:r>
              <w:rPr>
                <w:rFonts w:cs="Arial"/>
              </w:rPr>
              <w:t>3.339</w:t>
            </w:r>
          </w:p>
        </w:tc>
        <w:tc>
          <w:tcPr>
            <w:tcW w:w="1284" w:type="dxa"/>
            <w:vAlign w:val="center"/>
          </w:tcPr>
          <w:p w14:paraId="43C0450C" w14:textId="18D633AB" w:rsidR="00791642" w:rsidRPr="00791642" w:rsidRDefault="00791642" w:rsidP="00791642">
            <w:pPr>
              <w:pStyle w:val="NoSpacing"/>
              <w:jc w:val="center"/>
              <w:rPr>
                <w:rFonts w:cs="Arial"/>
              </w:rPr>
            </w:pPr>
            <w:r>
              <w:rPr>
                <w:rFonts w:cs="Arial"/>
              </w:rPr>
              <w:t>-3.242</w:t>
            </w:r>
          </w:p>
        </w:tc>
        <w:tc>
          <w:tcPr>
            <w:tcW w:w="1284" w:type="dxa"/>
            <w:vAlign w:val="center"/>
          </w:tcPr>
          <w:p w14:paraId="4225BCD1" w14:textId="6C88F5A5" w:rsidR="00791642" w:rsidRPr="00791642" w:rsidRDefault="00791642" w:rsidP="00791642">
            <w:pPr>
              <w:pStyle w:val="NoSpacing"/>
              <w:jc w:val="center"/>
              <w:rPr>
                <w:rFonts w:cs="Arial"/>
              </w:rPr>
            </w:pPr>
            <w:r>
              <w:rPr>
                <w:rFonts w:cs="Arial"/>
              </w:rPr>
              <w:t>-1.958</w:t>
            </w:r>
          </w:p>
        </w:tc>
        <w:tc>
          <w:tcPr>
            <w:tcW w:w="1284" w:type="dxa"/>
            <w:vAlign w:val="center"/>
          </w:tcPr>
          <w:p w14:paraId="3CC98780" w14:textId="2D1D769C" w:rsidR="00791642" w:rsidRPr="00791642" w:rsidRDefault="00791642" w:rsidP="00791642">
            <w:pPr>
              <w:pStyle w:val="NoSpacing"/>
              <w:jc w:val="center"/>
              <w:rPr>
                <w:rFonts w:cs="Arial"/>
              </w:rPr>
            </w:pPr>
            <w:r>
              <w:rPr>
                <w:rFonts w:cs="Arial"/>
              </w:rPr>
              <w:t>-1.250</w:t>
            </w:r>
          </w:p>
        </w:tc>
        <w:tc>
          <w:tcPr>
            <w:tcW w:w="1284" w:type="dxa"/>
            <w:vAlign w:val="center"/>
          </w:tcPr>
          <w:p w14:paraId="46A409AC" w14:textId="5E5C01A8" w:rsidR="00791642" w:rsidRPr="00791642" w:rsidRDefault="00791642" w:rsidP="001E485A">
            <w:pPr>
              <w:pStyle w:val="NoSpacing"/>
              <w:jc w:val="center"/>
              <w:rPr>
                <w:rFonts w:cs="Arial"/>
                <w:b/>
              </w:rPr>
            </w:pPr>
            <w:r>
              <w:rPr>
                <w:rFonts w:cs="Arial"/>
                <w:b/>
              </w:rPr>
              <w:t>-3.111</w:t>
            </w:r>
          </w:p>
        </w:tc>
      </w:tr>
      <w:tr w:rsidR="00791642" w:rsidRPr="00791642" w14:paraId="61E6B67B" w14:textId="1E13F104" w:rsidTr="001E485A">
        <w:trPr>
          <w:trHeight w:val="552"/>
          <w:jc w:val="center"/>
        </w:trPr>
        <w:tc>
          <w:tcPr>
            <w:tcW w:w="3403" w:type="dxa"/>
            <w:vAlign w:val="center"/>
          </w:tcPr>
          <w:p w14:paraId="726E26CD" w14:textId="03EAB773" w:rsidR="00791642" w:rsidRPr="00791642" w:rsidRDefault="00791642" w:rsidP="00791642">
            <w:pPr>
              <w:pStyle w:val="NoSpacing"/>
              <w:rPr>
                <w:rFonts w:cs="Arial"/>
              </w:rPr>
            </w:pPr>
            <w:r w:rsidRPr="00791642">
              <w:rPr>
                <w:rFonts w:cs="Arial"/>
              </w:rPr>
              <w:t>Service Demand and Volume Pressures</w:t>
            </w:r>
          </w:p>
        </w:tc>
        <w:tc>
          <w:tcPr>
            <w:tcW w:w="1284" w:type="dxa"/>
            <w:vAlign w:val="center"/>
          </w:tcPr>
          <w:p w14:paraId="06D37D03" w14:textId="04D323D2" w:rsidR="00791642" w:rsidRPr="00791642" w:rsidRDefault="00791642" w:rsidP="00791642">
            <w:pPr>
              <w:pStyle w:val="NoSpacing"/>
              <w:jc w:val="center"/>
              <w:rPr>
                <w:rFonts w:cs="Arial"/>
              </w:rPr>
            </w:pPr>
            <w:r>
              <w:rPr>
                <w:rFonts w:cs="Arial"/>
              </w:rPr>
              <w:t>15.954</w:t>
            </w:r>
          </w:p>
        </w:tc>
        <w:tc>
          <w:tcPr>
            <w:tcW w:w="1284" w:type="dxa"/>
            <w:vAlign w:val="center"/>
          </w:tcPr>
          <w:p w14:paraId="7A6F9D59" w14:textId="1F3A315A" w:rsidR="00791642" w:rsidRPr="00791642" w:rsidRDefault="0059655B" w:rsidP="00791642">
            <w:pPr>
              <w:pStyle w:val="NoSpacing"/>
              <w:jc w:val="center"/>
              <w:rPr>
                <w:rFonts w:cs="Arial"/>
              </w:rPr>
            </w:pPr>
            <w:r>
              <w:rPr>
                <w:rFonts w:cs="Arial"/>
              </w:rPr>
              <w:t>1.936</w:t>
            </w:r>
          </w:p>
        </w:tc>
        <w:tc>
          <w:tcPr>
            <w:tcW w:w="1284" w:type="dxa"/>
            <w:vAlign w:val="center"/>
          </w:tcPr>
          <w:p w14:paraId="26F4678E" w14:textId="650C5F2F" w:rsidR="00791642" w:rsidRPr="00791642" w:rsidRDefault="0059655B" w:rsidP="00791642">
            <w:pPr>
              <w:pStyle w:val="NoSpacing"/>
              <w:jc w:val="center"/>
              <w:rPr>
                <w:rFonts w:cs="Arial"/>
              </w:rPr>
            </w:pPr>
            <w:r>
              <w:rPr>
                <w:rFonts w:cs="Arial"/>
              </w:rPr>
              <w:t>3.875</w:t>
            </w:r>
          </w:p>
        </w:tc>
        <w:tc>
          <w:tcPr>
            <w:tcW w:w="1284" w:type="dxa"/>
            <w:vAlign w:val="center"/>
          </w:tcPr>
          <w:p w14:paraId="09356EC2" w14:textId="40743E29" w:rsidR="00791642" w:rsidRPr="00791642" w:rsidRDefault="0059655B" w:rsidP="00791642">
            <w:pPr>
              <w:pStyle w:val="NoSpacing"/>
              <w:jc w:val="center"/>
              <w:rPr>
                <w:rFonts w:cs="Arial"/>
              </w:rPr>
            </w:pPr>
            <w:r>
              <w:rPr>
                <w:rFonts w:cs="Arial"/>
              </w:rPr>
              <w:t>4.078</w:t>
            </w:r>
          </w:p>
        </w:tc>
        <w:tc>
          <w:tcPr>
            <w:tcW w:w="1284" w:type="dxa"/>
            <w:vAlign w:val="center"/>
          </w:tcPr>
          <w:p w14:paraId="7E11DEA5" w14:textId="0DD9CDA3" w:rsidR="00791642" w:rsidRPr="00791642" w:rsidRDefault="00791642" w:rsidP="0059655B">
            <w:pPr>
              <w:pStyle w:val="NoSpacing"/>
              <w:jc w:val="center"/>
              <w:rPr>
                <w:rFonts w:cs="Arial"/>
                <w:b/>
              </w:rPr>
            </w:pPr>
            <w:r>
              <w:rPr>
                <w:rFonts w:cs="Arial"/>
                <w:b/>
              </w:rPr>
              <w:t>2</w:t>
            </w:r>
            <w:r w:rsidR="0059655B">
              <w:rPr>
                <w:rFonts w:cs="Arial"/>
                <w:b/>
              </w:rPr>
              <w:t>5.843</w:t>
            </w:r>
          </w:p>
        </w:tc>
      </w:tr>
      <w:tr w:rsidR="00791642" w:rsidRPr="00791642" w14:paraId="30F0978A" w14:textId="0E9768FD" w:rsidTr="001E485A">
        <w:trPr>
          <w:trHeight w:val="552"/>
          <w:jc w:val="center"/>
        </w:trPr>
        <w:tc>
          <w:tcPr>
            <w:tcW w:w="3403" w:type="dxa"/>
            <w:vAlign w:val="center"/>
          </w:tcPr>
          <w:p w14:paraId="6AF37AC0" w14:textId="4DFCF874" w:rsidR="00791642" w:rsidRPr="00791642" w:rsidRDefault="00791642" w:rsidP="00791642">
            <w:pPr>
              <w:pStyle w:val="NoSpacing"/>
              <w:rPr>
                <w:rFonts w:cs="Arial"/>
              </w:rPr>
            </w:pPr>
            <w:r w:rsidRPr="00791642">
              <w:rPr>
                <w:rFonts w:cs="Arial"/>
              </w:rPr>
              <w:t>Other</w:t>
            </w:r>
          </w:p>
        </w:tc>
        <w:tc>
          <w:tcPr>
            <w:tcW w:w="1284" w:type="dxa"/>
            <w:vAlign w:val="center"/>
          </w:tcPr>
          <w:p w14:paraId="19B91170" w14:textId="53EB4BF9" w:rsidR="00791642" w:rsidRPr="00791642" w:rsidRDefault="00791642" w:rsidP="00791642">
            <w:pPr>
              <w:pStyle w:val="NoSpacing"/>
              <w:jc w:val="center"/>
              <w:rPr>
                <w:rFonts w:cs="Arial"/>
              </w:rPr>
            </w:pPr>
            <w:r>
              <w:rPr>
                <w:rFonts w:cs="Arial"/>
              </w:rPr>
              <w:t>-3.639</w:t>
            </w:r>
          </w:p>
        </w:tc>
        <w:tc>
          <w:tcPr>
            <w:tcW w:w="1284" w:type="dxa"/>
            <w:vAlign w:val="center"/>
          </w:tcPr>
          <w:p w14:paraId="6BDEA890" w14:textId="04CE6268" w:rsidR="00791642" w:rsidRPr="00791642" w:rsidRDefault="00791642" w:rsidP="00791642">
            <w:pPr>
              <w:pStyle w:val="NoSpacing"/>
              <w:jc w:val="center"/>
              <w:rPr>
                <w:rFonts w:cs="Arial"/>
              </w:rPr>
            </w:pPr>
            <w:r>
              <w:rPr>
                <w:rFonts w:cs="Arial"/>
              </w:rPr>
              <w:t>1.694</w:t>
            </w:r>
          </w:p>
        </w:tc>
        <w:tc>
          <w:tcPr>
            <w:tcW w:w="1284" w:type="dxa"/>
            <w:vAlign w:val="center"/>
          </w:tcPr>
          <w:p w14:paraId="57F582F7" w14:textId="7CA1E62D" w:rsidR="00791642" w:rsidRPr="00791642" w:rsidRDefault="00791642" w:rsidP="00791642">
            <w:pPr>
              <w:pStyle w:val="NoSpacing"/>
              <w:jc w:val="center"/>
              <w:rPr>
                <w:rFonts w:cs="Arial"/>
              </w:rPr>
            </w:pPr>
            <w:r>
              <w:rPr>
                <w:rFonts w:cs="Arial"/>
              </w:rPr>
              <w:t>0.759</w:t>
            </w:r>
          </w:p>
        </w:tc>
        <w:tc>
          <w:tcPr>
            <w:tcW w:w="1284" w:type="dxa"/>
            <w:vAlign w:val="center"/>
          </w:tcPr>
          <w:p w14:paraId="00AE11E1" w14:textId="6A08479A" w:rsidR="00791642" w:rsidRPr="00791642" w:rsidRDefault="00791642" w:rsidP="00791642">
            <w:pPr>
              <w:pStyle w:val="NoSpacing"/>
              <w:jc w:val="center"/>
              <w:rPr>
                <w:rFonts w:cs="Arial"/>
              </w:rPr>
            </w:pPr>
            <w:r>
              <w:rPr>
                <w:rFonts w:cs="Arial"/>
              </w:rPr>
              <w:t>0.000</w:t>
            </w:r>
          </w:p>
        </w:tc>
        <w:tc>
          <w:tcPr>
            <w:tcW w:w="1284" w:type="dxa"/>
            <w:vAlign w:val="center"/>
          </w:tcPr>
          <w:p w14:paraId="61A36DED" w14:textId="2CF59EDD" w:rsidR="00791642" w:rsidRPr="00791642" w:rsidRDefault="00791642" w:rsidP="001E485A">
            <w:pPr>
              <w:pStyle w:val="NoSpacing"/>
              <w:jc w:val="center"/>
              <w:rPr>
                <w:rFonts w:cs="Arial"/>
                <w:b/>
              </w:rPr>
            </w:pPr>
            <w:r>
              <w:rPr>
                <w:rFonts w:cs="Arial"/>
                <w:b/>
              </w:rPr>
              <w:t>-1.186</w:t>
            </w:r>
          </w:p>
        </w:tc>
      </w:tr>
      <w:tr w:rsidR="00791642" w:rsidRPr="00791642" w14:paraId="133F1685" w14:textId="77777777" w:rsidTr="001E485A">
        <w:trPr>
          <w:trHeight w:val="552"/>
          <w:jc w:val="center"/>
        </w:trPr>
        <w:tc>
          <w:tcPr>
            <w:tcW w:w="3403" w:type="dxa"/>
            <w:vAlign w:val="center"/>
          </w:tcPr>
          <w:p w14:paraId="769218B0" w14:textId="2DC3FE8E" w:rsidR="00791642" w:rsidRPr="00791642" w:rsidRDefault="00791642" w:rsidP="00791642">
            <w:pPr>
              <w:pStyle w:val="NoSpacing"/>
              <w:rPr>
                <w:rFonts w:cs="Arial"/>
              </w:rPr>
            </w:pPr>
            <w:r w:rsidRPr="00791642">
              <w:rPr>
                <w:rFonts w:cs="Arial"/>
              </w:rPr>
              <w:t>Loss of specific grants</w:t>
            </w:r>
          </w:p>
        </w:tc>
        <w:tc>
          <w:tcPr>
            <w:tcW w:w="1284" w:type="dxa"/>
            <w:vAlign w:val="center"/>
          </w:tcPr>
          <w:p w14:paraId="5DCA010F" w14:textId="65DC52A8" w:rsidR="00791642" w:rsidRPr="00791642" w:rsidRDefault="00791642" w:rsidP="00791642">
            <w:pPr>
              <w:pStyle w:val="NoSpacing"/>
              <w:jc w:val="center"/>
              <w:rPr>
                <w:rFonts w:cs="Arial"/>
              </w:rPr>
            </w:pPr>
            <w:r>
              <w:rPr>
                <w:rFonts w:cs="Arial"/>
              </w:rPr>
              <w:t>3.668</w:t>
            </w:r>
          </w:p>
        </w:tc>
        <w:tc>
          <w:tcPr>
            <w:tcW w:w="1284" w:type="dxa"/>
            <w:vAlign w:val="center"/>
          </w:tcPr>
          <w:p w14:paraId="299796A9" w14:textId="505BF715" w:rsidR="00791642" w:rsidRPr="00791642" w:rsidRDefault="00791642" w:rsidP="00791642">
            <w:pPr>
              <w:pStyle w:val="NoSpacing"/>
              <w:jc w:val="center"/>
              <w:rPr>
                <w:rFonts w:cs="Arial"/>
              </w:rPr>
            </w:pPr>
            <w:r>
              <w:rPr>
                <w:rFonts w:cs="Arial"/>
              </w:rPr>
              <w:t>1.797</w:t>
            </w:r>
          </w:p>
        </w:tc>
        <w:tc>
          <w:tcPr>
            <w:tcW w:w="1284" w:type="dxa"/>
            <w:vAlign w:val="center"/>
          </w:tcPr>
          <w:p w14:paraId="377B8EB0" w14:textId="7322CAB9" w:rsidR="00791642" w:rsidRPr="00791642" w:rsidRDefault="00791642" w:rsidP="00791642">
            <w:pPr>
              <w:pStyle w:val="NoSpacing"/>
              <w:jc w:val="center"/>
              <w:rPr>
                <w:rFonts w:cs="Arial"/>
              </w:rPr>
            </w:pPr>
            <w:r>
              <w:rPr>
                <w:rFonts w:cs="Arial"/>
              </w:rPr>
              <w:t>1.778</w:t>
            </w:r>
          </w:p>
        </w:tc>
        <w:tc>
          <w:tcPr>
            <w:tcW w:w="1284" w:type="dxa"/>
            <w:vAlign w:val="center"/>
          </w:tcPr>
          <w:p w14:paraId="1A1DBFBF" w14:textId="18C82334" w:rsidR="00791642" w:rsidRPr="00791642" w:rsidRDefault="00791642" w:rsidP="00791642">
            <w:pPr>
              <w:pStyle w:val="NoSpacing"/>
              <w:jc w:val="center"/>
              <w:rPr>
                <w:rFonts w:cs="Arial"/>
              </w:rPr>
            </w:pPr>
            <w:r>
              <w:rPr>
                <w:rFonts w:cs="Arial"/>
              </w:rPr>
              <w:t>0.000</w:t>
            </w:r>
          </w:p>
        </w:tc>
        <w:tc>
          <w:tcPr>
            <w:tcW w:w="1284" w:type="dxa"/>
            <w:vAlign w:val="center"/>
          </w:tcPr>
          <w:p w14:paraId="0251B2A5" w14:textId="50FB4F71" w:rsidR="00791642" w:rsidRPr="00791642" w:rsidRDefault="00791642" w:rsidP="001E485A">
            <w:pPr>
              <w:pStyle w:val="NoSpacing"/>
              <w:jc w:val="center"/>
              <w:rPr>
                <w:rFonts w:cs="Arial"/>
                <w:b/>
              </w:rPr>
            </w:pPr>
            <w:r>
              <w:rPr>
                <w:rFonts w:cs="Arial"/>
                <w:b/>
              </w:rPr>
              <w:t>7.243</w:t>
            </w:r>
          </w:p>
        </w:tc>
      </w:tr>
      <w:tr w:rsidR="00791642" w:rsidRPr="00791642" w14:paraId="0BF6461B" w14:textId="77777777" w:rsidTr="001E485A">
        <w:trPr>
          <w:trHeight w:val="552"/>
          <w:jc w:val="center"/>
        </w:trPr>
        <w:tc>
          <w:tcPr>
            <w:tcW w:w="3403" w:type="dxa"/>
            <w:vAlign w:val="center"/>
          </w:tcPr>
          <w:p w14:paraId="481CCCB2" w14:textId="01EC1E87" w:rsidR="00791642" w:rsidRPr="00791642" w:rsidRDefault="00791642" w:rsidP="00791642">
            <w:pPr>
              <w:pStyle w:val="NoSpacing"/>
              <w:rPr>
                <w:rFonts w:cs="Arial"/>
              </w:rPr>
            </w:pPr>
            <w:r w:rsidRPr="00791642">
              <w:rPr>
                <w:rFonts w:cs="Arial"/>
              </w:rPr>
              <w:t>Undeliverable savings</w:t>
            </w:r>
          </w:p>
        </w:tc>
        <w:tc>
          <w:tcPr>
            <w:tcW w:w="1284" w:type="dxa"/>
            <w:vAlign w:val="center"/>
          </w:tcPr>
          <w:p w14:paraId="13E5ADE5" w14:textId="54237BD0" w:rsidR="00791642" w:rsidRPr="00791642" w:rsidRDefault="00791642" w:rsidP="00791642">
            <w:pPr>
              <w:pStyle w:val="NoSpacing"/>
              <w:jc w:val="center"/>
              <w:rPr>
                <w:rFonts w:cs="Arial"/>
              </w:rPr>
            </w:pPr>
            <w:r>
              <w:rPr>
                <w:rFonts w:cs="Arial"/>
              </w:rPr>
              <w:t>0.729</w:t>
            </w:r>
          </w:p>
        </w:tc>
        <w:tc>
          <w:tcPr>
            <w:tcW w:w="1284" w:type="dxa"/>
            <w:vAlign w:val="center"/>
          </w:tcPr>
          <w:p w14:paraId="6D4CECE0" w14:textId="7051CBA0" w:rsidR="00791642" w:rsidRPr="00791642" w:rsidRDefault="00791642" w:rsidP="00791642">
            <w:pPr>
              <w:pStyle w:val="NoSpacing"/>
              <w:jc w:val="center"/>
              <w:rPr>
                <w:rFonts w:cs="Arial"/>
              </w:rPr>
            </w:pPr>
            <w:r>
              <w:rPr>
                <w:rFonts w:cs="Arial"/>
              </w:rPr>
              <w:t>0.000</w:t>
            </w:r>
          </w:p>
        </w:tc>
        <w:tc>
          <w:tcPr>
            <w:tcW w:w="1284" w:type="dxa"/>
            <w:vAlign w:val="center"/>
          </w:tcPr>
          <w:p w14:paraId="3B28408A" w14:textId="0CFDBD01" w:rsidR="00791642" w:rsidRPr="00791642" w:rsidRDefault="00791642" w:rsidP="00791642">
            <w:pPr>
              <w:pStyle w:val="NoSpacing"/>
              <w:jc w:val="center"/>
              <w:rPr>
                <w:rFonts w:cs="Arial"/>
              </w:rPr>
            </w:pPr>
            <w:r>
              <w:rPr>
                <w:rFonts w:cs="Arial"/>
              </w:rPr>
              <w:t>0.000</w:t>
            </w:r>
          </w:p>
        </w:tc>
        <w:tc>
          <w:tcPr>
            <w:tcW w:w="1284" w:type="dxa"/>
            <w:vAlign w:val="center"/>
          </w:tcPr>
          <w:p w14:paraId="1240CF05" w14:textId="7D4876D9" w:rsidR="00791642" w:rsidRPr="00791642" w:rsidRDefault="00791642" w:rsidP="00791642">
            <w:pPr>
              <w:pStyle w:val="NoSpacing"/>
              <w:jc w:val="center"/>
              <w:rPr>
                <w:rFonts w:cs="Arial"/>
              </w:rPr>
            </w:pPr>
            <w:r>
              <w:rPr>
                <w:rFonts w:cs="Arial"/>
              </w:rPr>
              <w:t>0.000</w:t>
            </w:r>
          </w:p>
        </w:tc>
        <w:tc>
          <w:tcPr>
            <w:tcW w:w="1284" w:type="dxa"/>
            <w:vAlign w:val="center"/>
          </w:tcPr>
          <w:p w14:paraId="5B52A0F9" w14:textId="60045878" w:rsidR="00791642" w:rsidRPr="00791642" w:rsidRDefault="00791642" w:rsidP="001E485A">
            <w:pPr>
              <w:pStyle w:val="NoSpacing"/>
              <w:jc w:val="center"/>
              <w:rPr>
                <w:rFonts w:cs="Arial"/>
                <w:b/>
              </w:rPr>
            </w:pPr>
            <w:r>
              <w:rPr>
                <w:rFonts w:cs="Arial"/>
                <w:b/>
              </w:rPr>
              <w:t>0.729</w:t>
            </w:r>
          </w:p>
        </w:tc>
      </w:tr>
      <w:tr w:rsidR="00791642" w:rsidRPr="00D81A94" w14:paraId="7187687D" w14:textId="77777777" w:rsidTr="001E485A">
        <w:trPr>
          <w:trHeight w:val="552"/>
          <w:jc w:val="center"/>
        </w:trPr>
        <w:tc>
          <w:tcPr>
            <w:tcW w:w="3403" w:type="dxa"/>
            <w:shd w:val="clear" w:color="auto" w:fill="BFBFBF" w:themeFill="background1" w:themeFillShade="BF"/>
            <w:vAlign w:val="center"/>
          </w:tcPr>
          <w:p w14:paraId="12521D50" w14:textId="3FC930C1" w:rsidR="00791642" w:rsidRPr="00D81A94" w:rsidRDefault="00791642" w:rsidP="00791642">
            <w:pPr>
              <w:pStyle w:val="NoSpacing"/>
              <w:rPr>
                <w:rFonts w:cs="Arial"/>
                <w:b/>
              </w:rPr>
            </w:pPr>
            <w:r w:rsidRPr="00D81A94">
              <w:rPr>
                <w:rFonts w:cs="Arial"/>
                <w:b/>
              </w:rPr>
              <w:t>Total change to forecast of spending</w:t>
            </w:r>
          </w:p>
        </w:tc>
        <w:tc>
          <w:tcPr>
            <w:tcW w:w="1284" w:type="dxa"/>
            <w:shd w:val="clear" w:color="auto" w:fill="BFBFBF" w:themeFill="background1" w:themeFillShade="BF"/>
            <w:vAlign w:val="center"/>
          </w:tcPr>
          <w:p w14:paraId="733B48F8" w14:textId="21C2D454" w:rsidR="00791642" w:rsidRPr="00D81A94" w:rsidRDefault="00791642" w:rsidP="00791642">
            <w:pPr>
              <w:pStyle w:val="NoSpacing"/>
              <w:jc w:val="center"/>
              <w:rPr>
                <w:rFonts w:cs="Arial"/>
                <w:b/>
              </w:rPr>
            </w:pPr>
            <w:r w:rsidRPr="00D81A94">
              <w:rPr>
                <w:rFonts w:cs="Arial"/>
                <w:b/>
              </w:rPr>
              <w:t>21.348</w:t>
            </w:r>
          </w:p>
        </w:tc>
        <w:tc>
          <w:tcPr>
            <w:tcW w:w="1284" w:type="dxa"/>
            <w:shd w:val="clear" w:color="auto" w:fill="BFBFBF" w:themeFill="background1" w:themeFillShade="BF"/>
            <w:vAlign w:val="center"/>
          </w:tcPr>
          <w:p w14:paraId="446B5A2A" w14:textId="46C56244" w:rsidR="00791642" w:rsidRPr="00D81A94" w:rsidRDefault="0059655B" w:rsidP="00791642">
            <w:pPr>
              <w:pStyle w:val="NoSpacing"/>
              <w:jc w:val="center"/>
              <w:rPr>
                <w:rFonts w:cs="Arial"/>
                <w:b/>
              </w:rPr>
            </w:pPr>
            <w:r>
              <w:rPr>
                <w:rFonts w:cs="Arial"/>
                <w:b/>
              </w:rPr>
              <w:t>4.026</w:t>
            </w:r>
          </w:p>
        </w:tc>
        <w:tc>
          <w:tcPr>
            <w:tcW w:w="1284" w:type="dxa"/>
            <w:shd w:val="clear" w:color="auto" w:fill="BFBFBF" w:themeFill="background1" w:themeFillShade="BF"/>
            <w:vAlign w:val="center"/>
          </w:tcPr>
          <w:p w14:paraId="656ED1B3" w14:textId="4436B25A" w:rsidR="00791642" w:rsidRPr="00D81A94" w:rsidRDefault="0059655B" w:rsidP="00791642">
            <w:pPr>
              <w:pStyle w:val="NoSpacing"/>
              <w:jc w:val="center"/>
              <w:rPr>
                <w:rFonts w:cs="Arial"/>
                <w:b/>
              </w:rPr>
            </w:pPr>
            <w:r>
              <w:rPr>
                <w:rFonts w:cs="Arial"/>
                <w:b/>
              </w:rPr>
              <w:t>6.218</w:t>
            </w:r>
          </w:p>
        </w:tc>
        <w:tc>
          <w:tcPr>
            <w:tcW w:w="1284" w:type="dxa"/>
            <w:shd w:val="clear" w:color="auto" w:fill="BFBFBF" w:themeFill="background1" w:themeFillShade="BF"/>
            <w:vAlign w:val="center"/>
          </w:tcPr>
          <w:p w14:paraId="676FB510" w14:textId="1B427466" w:rsidR="00791642" w:rsidRPr="00D81A94" w:rsidRDefault="0059655B" w:rsidP="00791642">
            <w:pPr>
              <w:pStyle w:val="NoSpacing"/>
              <w:jc w:val="center"/>
              <w:rPr>
                <w:rFonts w:cs="Arial"/>
                <w:b/>
              </w:rPr>
            </w:pPr>
            <w:r>
              <w:rPr>
                <w:rFonts w:cs="Arial"/>
                <w:b/>
              </w:rPr>
              <w:t>5.089</w:t>
            </w:r>
          </w:p>
        </w:tc>
        <w:tc>
          <w:tcPr>
            <w:tcW w:w="1284" w:type="dxa"/>
            <w:shd w:val="clear" w:color="auto" w:fill="BFBFBF" w:themeFill="background1" w:themeFillShade="BF"/>
            <w:vAlign w:val="center"/>
          </w:tcPr>
          <w:p w14:paraId="43821C60" w14:textId="231C89B0" w:rsidR="00791642" w:rsidRPr="00D81A94" w:rsidRDefault="0059655B" w:rsidP="001E485A">
            <w:pPr>
              <w:pStyle w:val="NoSpacing"/>
              <w:jc w:val="center"/>
              <w:rPr>
                <w:rFonts w:cs="Arial"/>
                <w:b/>
              </w:rPr>
            </w:pPr>
            <w:r>
              <w:rPr>
                <w:rFonts w:cs="Arial"/>
                <w:b/>
              </w:rPr>
              <w:t>36.681</w:t>
            </w:r>
          </w:p>
        </w:tc>
      </w:tr>
      <w:tr w:rsidR="00791642" w:rsidRPr="00791642" w14:paraId="6E9E4B4A" w14:textId="77777777" w:rsidTr="001E485A">
        <w:trPr>
          <w:trHeight w:val="290"/>
          <w:jc w:val="center"/>
        </w:trPr>
        <w:tc>
          <w:tcPr>
            <w:tcW w:w="3403" w:type="dxa"/>
            <w:shd w:val="clear" w:color="auto" w:fill="auto"/>
            <w:vAlign w:val="center"/>
          </w:tcPr>
          <w:p w14:paraId="522AD46A" w14:textId="77777777" w:rsidR="00791642" w:rsidRDefault="00791642" w:rsidP="00791642">
            <w:pPr>
              <w:pStyle w:val="NoSpacing"/>
              <w:rPr>
                <w:rFonts w:cs="Arial"/>
                <w:b/>
              </w:rPr>
            </w:pPr>
          </w:p>
        </w:tc>
        <w:tc>
          <w:tcPr>
            <w:tcW w:w="1284" w:type="dxa"/>
            <w:shd w:val="clear" w:color="auto" w:fill="auto"/>
            <w:vAlign w:val="center"/>
          </w:tcPr>
          <w:p w14:paraId="5023DA1F" w14:textId="77777777" w:rsidR="00791642" w:rsidRPr="00791642" w:rsidRDefault="00791642" w:rsidP="00791642">
            <w:pPr>
              <w:pStyle w:val="NoSpacing"/>
              <w:jc w:val="center"/>
              <w:rPr>
                <w:rFonts w:cs="Arial"/>
              </w:rPr>
            </w:pPr>
          </w:p>
        </w:tc>
        <w:tc>
          <w:tcPr>
            <w:tcW w:w="1284" w:type="dxa"/>
            <w:shd w:val="clear" w:color="auto" w:fill="auto"/>
            <w:vAlign w:val="center"/>
          </w:tcPr>
          <w:p w14:paraId="0A73BB85" w14:textId="77777777" w:rsidR="00791642" w:rsidRPr="00791642" w:rsidRDefault="00791642" w:rsidP="00791642">
            <w:pPr>
              <w:pStyle w:val="NoSpacing"/>
              <w:jc w:val="center"/>
              <w:rPr>
                <w:rFonts w:cs="Arial"/>
              </w:rPr>
            </w:pPr>
          </w:p>
        </w:tc>
        <w:tc>
          <w:tcPr>
            <w:tcW w:w="1284" w:type="dxa"/>
            <w:shd w:val="clear" w:color="auto" w:fill="auto"/>
            <w:vAlign w:val="center"/>
          </w:tcPr>
          <w:p w14:paraId="14ED9225" w14:textId="77777777" w:rsidR="00791642" w:rsidRPr="00791642" w:rsidRDefault="00791642" w:rsidP="00791642">
            <w:pPr>
              <w:pStyle w:val="NoSpacing"/>
              <w:jc w:val="center"/>
              <w:rPr>
                <w:rFonts w:cs="Arial"/>
              </w:rPr>
            </w:pPr>
          </w:p>
        </w:tc>
        <w:tc>
          <w:tcPr>
            <w:tcW w:w="1284" w:type="dxa"/>
            <w:shd w:val="clear" w:color="auto" w:fill="auto"/>
            <w:vAlign w:val="center"/>
          </w:tcPr>
          <w:p w14:paraId="790C4B16" w14:textId="77777777" w:rsidR="00791642" w:rsidRPr="00791642" w:rsidRDefault="00791642" w:rsidP="00791642">
            <w:pPr>
              <w:pStyle w:val="NoSpacing"/>
              <w:jc w:val="center"/>
              <w:rPr>
                <w:rFonts w:cs="Arial"/>
              </w:rPr>
            </w:pPr>
          </w:p>
        </w:tc>
        <w:tc>
          <w:tcPr>
            <w:tcW w:w="1284" w:type="dxa"/>
            <w:shd w:val="clear" w:color="auto" w:fill="auto"/>
            <w:vAlign w:val="center"/>
          </w:tcPr>
          <w:p w14:paraId="67A98D4A" w14:textId="77777777" w:rsidR="00791642" w:rsidRPr="00791642" w:rsidRDefault="00791642" w:rsidP="001E485A">
            <w:pPr>
              <w:pStyle w:val="NoSpacing"/>
              <w:jc w:val="center"/>
              <w:rPr>
                <w:rFonts w:cs="Arial"/>
                <w:b/>
              </w:rPr>
            </w:pPr>
          </w:p>
        </w:tc>
      </w:tr>
      <w:tr w:rsidR="00791642" w:rsidRPr="00791642" w14:paraId="452F9361" w14:textId="77777777" w:rsidTr="001E485A">
        <w:trPr>
          <w:trHeight w:val="552"/>
          <w:jc w:val="center"/>
        </w:trPr>
        <w:tc>
          <w:tcPr>
            <w:tcW w:w="3403" w:type="dxa"/>
            <w:shd w:val="clear" w:color="auto" w:fill="auto"/>
            <w:vAlign w:val="center"/>
          </w:tcPr>
          <w:p w14:paraId="5D25191F" w14:textId="7AB827C3" w:rsidR="00791642" w:rsidRPr="00D81A94" w:rsidRDefault="00791642" w:rsidP="00791642">
            <w:pPr>
              <w:pStyle w:val="NoSpacing"/>
              <w:rPr>
                <w:rFonts w:cs="Arial"/>
              </w:rPr>
            </w:pPr>
            <w:r w:rsidRPr="00D81A94">
              <w:rPr>
                <w:rFonts w:cs="Arial"/>
              </w:rPr>
              <w:t>Funding</w:t>
            </w:r>
          </w:p>
        </w:tc>
        <w:tc>
          <w:tcPr>
            <w:tcW w:w="1284" w:type="dxa"/>
            <w:shd w:val="clear" w:color="auto" w:fill="auto"/>
            <w:vAlign w:val="center"/>
          </w:tcPr>
          <w:p w14:paraId="7341966C" w14:textId="258AC682" w:rsidR="00791642" w:rsidRPr="00791642" w:rsidRDefault="00791642" w:rsidP="003D09D8">
            <w:pPr>
              <w:pStyle w:val="NoSpacing"/>
              <w:jc w:val="center"/>
              <w:rPr>
                <w:rFonts w:cs="Arial"/>
              </w:rPr>
            </w:pPr>
            <w:r>
              <w:rPr>
                <w:rFonts w:cs="Arial"/>
              </w:rPr>
              <w:t>-</w:t>
            </w:r>
            <w:r w:rsidR="003D09D8">
              <w:rPr>
                <w:rFonts w:cs="Arial"/>
              </w:rPr>
              <w:t>19.8</w:t>
            </w:r>
            <w:r w:rsidR="00975679">
              <w:rPr>
                <w:rFonts w:cs="Arial"/>
              </w:rPr>
              <w:t>88</w:t>
            </w:r>
          </w:p>
        </w:tc>
        <w:tc>
          <w:tcPr>
            <w:tcW w:w="1284" w:type="dxa"/>
            <w:shd w:val="clear" w:color="auto" w:fill="auto"/>
            <w:vAlign w:val="center"/>
          </w:tcPr>
          <w:p w14:paraId="3634971C" w14:textId="28E3564C" w:rsidR="00791642" w:rsidRPr="00791642" w:rsidRDefault="00791642" w:rsidP="00791642">
            <w:pPr>
              <w:pStyle w:val="NoSpacing"/>
              <w:jc w:val="center"/>
              <w:rPr>
                <w:rFonts w:cs="Arial"/>
              </w:rPr>
            </w:pPr>
            <w:r>
              <w:rPr>
                <w:rFonts w:cs="Arial"/>
              </w:rPr>
              <w:t>-19.837</w:t>
            </w:r>
          </w:p>
        </w:tc>
        <w:tc>
          <w:tcPr>
            <w:tcW w:w="1284" w:type="dxa"/>
            <w:shd w:val="clear" w:color="auto" w:fill="auto"/>
            <w:vAlign w:val="center"/>
          </w:tcPr>
          <w:p w14:paraId="1A95D9FA" w14:textId="34726D71" w:rsidR="00791642" w:rsidRPr="00791642" w:rsidRDefault="00791642" w:rsidP="00791642">
            <w:pPr>
              <w:pStyle w:val="NoSpacing"/>
              <w:jc w:val="center"/>
              <w:rPr>
                <w:rFonts w:cs="Arial"/>
              </w:rPr>
            </w:pPr>
            <w:r>
              <w:rPr>
                <w:rFonts w:cs="Arial"/>
              </w:rPr>
              <w:t>-22.654</w:t>
            </w:r>
          </w:p>
        </w:tc>
        <w:tc>
          <w:tcPr>
            <w:tcW w:w="1284" w:type="dxa"/>
            <w:shd w:val="clear" w:color="auto" w:fill="auto"/>
            <w:vAlign w:val="center"/>
          </w:tcPr>
          <w:p w14:paraId="01D80645" w14:textId="24DD4BA3" w:rsidR="00791642" w:rsidRPr="00791642" w:rsidRDefault="00791642" w:rsidP="00791642">
            <w:pPr>
              <w:pStyle w:val="NoSpacing"/>
              <w:jc w:val="center"/>
              <w:rPr>
                <w:rFonts w:cs="Arial"/>
              </w:rPr>
            </w:pPr>
            <w:r>
              <w:rPr>
                <w:rFonts w:cs="Arial"/>
              </w:rPr>
              <w:t>-23.002</w:t>
            </w:r>
          </w:p>
        </w:tc>
        <w:tc>
          <w:tcPr>
            <w:tcW w:w="1284" w:type="dxa"/>
            <w:shd w:val="clear" w:color="auto" w:fill="auto"/>
            <w:vAlign w:val="center"/>
          </w:tcPr>
          <w:p w14:paraId="57752C41" w14:textId="20DBF49F" w:rsidR="00791642" w:rsidRPr="00791642" w:rsidRDefault="00791642" w:rsidP="00975679">
            <w:pPr>
              <w:pStyle w:val="NoSpacing"/>
              <w:jc w:val="center"/>
              <w:rPr>
                <w:rFonts w:cs="Arial"/>
                <w:b/>
              </w:rPr>
            </w:pPr>
            <w:r>
              <w:rPr>
                <w:rFonts w:cs="Arial"/>
                <w:b/>
              </w:rPr>
              <w:t>-85.</w:t>
            </w:r>
            <w:r w:rsidR="00975679">
              <w:rPr>
                <w:rFonts w:cs="Arial"/>
                <w:b/>
              </w:rPr>
              <w:t>381</w:t>
            </w:r>
          </w:p>
        </w:tc>
      </w:tr>
      <w:tr w:rsidR="00791642" w:rsidRPr="004C52A6" w14:paraId="4CD5A984" w14:textId="77777777" w:rsidTr="001E485A">
        <w:trPr>
          <w:trHeight w:val="552"/>
          <w:jc w:val="center"/>
        </w:trPr>
        <w:tc>
          <w:tcPr>
            <w:tcW w:w="3403" w:type="dxa"/>
            <w:shd w:val="clear" w:color="auto" w:fill="A6A6A6" w:themeFill="background1" w:themeFillShade="A6"/>
            <w:vAlign w:val="center"/>
          </w:tcPr>
          <w:p w14:paraId="7673977C" w14:textId="73E9E344" w:rsidR="00791642" w:rsidRPr="004C52A6" w:rsidRDefault="00791642" w:rsidP="00791642">
            <w:pPr>
              <w:pStyle w:val="NoSpacing"/>
              <w:rPr>
                <w:rFonts w:cs="Arial"/>
                <w:b/>
              </w:rPr>
            </w:pPr>
            <w:r w:rsidRPr="004C52A6">
              <w:rPr>
                <w:rFonts w:cs="Arial"/>
                <w:b/>
              </w:rPr>
              <w:t>Total change to forecast of resources</w:t>
            </w:r>
          </w:p>
        </w:tc>
        <w:tc>
          <w:tcPr>
            <w:tcW w:w="1284" w:type="dxa"/>
            <w:shd w:val="clear" w:color="auto" w:fill="A6A6A6" w:themeFill="background1" w:themeFillShade="A6"/>
            <w:vAlign w:val="center"/>
          </w:tcPr>
          <w:p w14:paraId="4B876037" w14:textId="68C3C98A" w:rsidR="00791642" w:rsidRPr="004C52A6" w:rsidRDefault="003D09D8" w:rsidP="00791642">
            <w:pPr>
              <w:pStyle w:val="NoSpacing"/>
              <w:jc w:val="center"/>
              <w:rPr>
                <w:rFonts w:cs="Arial"/>
                <w:b/>
              </w:rPr>
            </w:pPr>
            <w:r>
              <w:rPr>
                <w:rFonts w:cs="Arial"/>
                <w:b/>
              </w:rPr>
              <w:t>-19.8</w:t>
            </w:r>
            <w:r w:rsidR="00975679">
              <w:rPr>
                <w:rFonts w:cs="Arial"/>
                <w:b/>
              </w:rPr>
              <w:t>88</w:t>
            </w:r>
          </w:p>
        </w:tc>
        <w:tc>
          <w:tcPr>
            <w:tcW w:w="1284" w:type="dxa"/>
            <w:shd w:val="clear" w:color="auto" w:fill="A6A6A6" w:themeFill="background1" w:themeFillShade="A6"/>
            <w:vAlign w:val="center"/>
          </w:tcPr>
          <w:p w14:paraId="2382F4AD" w14:textId="0E5D38D6" w:rsidR="00791642" w:rsidRPr="004C52A6" w:rsidRDefault="00791642" w:rsidP="00791642">
            <w:pPr>
              <w:pStyle w:val="NoSpacing"/>
              <w:jc w:val="center"/>
              <w:rPr>
                <w:rFonts w:cs="Arial"/>
                <w:b/>
              </w:rPr>
            </w:pPr>
            <w:r w:rsidRPr="004C52A6">
              <w:rPr>
                <w:rFonts w:cs="Arial"/>
                <w:b/>
              </w:rPr>
              <w:t>-19.837</w:t>
            </w:r>
          </w:p>
        </w:tc>
        <w:tc>
          <w:tcPr>
            <w:tcW w:w="1284" w:type="dxa"/>
            <w:shd w:val="clear" w:color="auto" w:fill="A6A6A6" w:themeFill="background1" w:themeFillShade="A6"/>
            <w:vAlign w:val="center"/>
          </w:tcPr>
          <w:p w14:paraId="71F14A64" w14:textId="295A1940" w:rsidR="00791642" w:rsidRPr="004C52A6" w:rsidRDefault="00791642" w:rsidP="00791642">
            <w:pPr>
              <w:pStyle w:val="NoSpacing"/>
              <w:jc w:val="center"/>
              <w:rPr>
                <w:rFonts w:cs="Arial"/>
                <w:b/>
              </w:rPr>
            </w:pPr>
            <w:r w:rsidRPr="004C52A6">
              <w:rPr>
                <w:rFonts w:cs="Arial"/>
                <w:b/>
              </w:rPr>
              <w:t>-22.654</w:t>
            </w:r>
          </w:p>
        </w:tc>
        <w:tc>
          <w:tcPr>
            <w:tcW w:w="1284" w:type="dxa"/>
            <w:shd w:val="clear" w:color="auto" w:fill="A6A6A6" w:themeFill="background1" w:themeFillShade="A6"/>
            <w:vAlign w:val="center"/>
          </w:tcPr>
          <w:p w14:paraId="50BFCB59" w14:textId="008765E0" w:rsidR="00791642" w:rsidRPr="004C52A6" w:rsidRDefault="00791642" w:rsidP="00791642">
            <w:pPr>
              <w:pStyle w:val="NoSpacing"/>
              <w:jc w:val="center"/>
              <w:rPr>
                <w:rFonts w:cs="Arial"/>
                <w:b/>
              </w:rPr>
            </w:pPr>
            <w:r w:rsidRPr="004C52A6">
              <w:rPr>
                <w:rFonts w:cs="Arial"/>
                <w:b/>
              </w:rPr>
              <w:t>-23.002</w:t>
            </w:r>
          </w:p>
        </w:tc>
        <w:tc>
          <w:tcPr>
            <w:tcW w:w="1284" w:type="dxa"/>
            <w:shd w:val="clear" w:color="auto" w:fill="A6A6A6" w:themeFill="background1" w:themeFillShade="A6"/>
            <w:vAlign w:val="center"/>
          </w:tcPr>
          <w:p w14:paraId="68E8FA42" w14:textId="22942E4C" w:rsidR="00791642" w:rsidRPr="004C52A6" w:rsidRDefault="00975679" w:rsidP="001E485A">
            <w:pPr>
              <w:pStyle w:val="NoSpacing"/>
              <w:jc w:val="center"/>
              <w:rPr>
                <w:rFonts w:cs="Arial"/>
                <w:b/>
              </w:rPr>
            </w:pPr>
            <w:r>
              <w:rPr>
                <w:rFonts w:cs="Arial"/>
                <w:b/>
              </w:rPr>
              <w:t>-85.381</w:t>
            </w:r>
          </w:p>
        </w:tc>
      </w:tr>
      <w:tr w:rsidR="00791642" w:rsidRPr="00791642" w14:paraId="7D47F75D" w14:textId="55BD09E4" w:rsidTr="001E485A">
        <w:trPr>
          <w:trHeight w:val="552"/>
          <w:jc w:val="center"/>
        </w:trPr>
        <w:tc>
          <w:tcPr>
            <w:tcW w:w="3403" w:type="dxa"/>
            <w:vAlign w:val="center"/>
          </w:tcPr>
          <w:p w14:paraId="18F268D2" w14:textId="410528C4" w:rsidR="00791642" w:rsidRPr="00791642" w:rsidRDefault="00791642" w:rsidP="00791642">
            <w:pPr>
              <w:pStyle w:val="NoSpacing"/>
              <w:rPr>
                <w:rFonts w:cs="Arial"/>
                <w:b/>
              </w:rPr>
            </w:pPr>
          </w:p>
        </w:tc>
        <w:tc>
          <w:tcPr>
            <w:tcW w:w="1284" w:type="dxa"/>
            <w:vAlign w:val="center"/>
          </w:tcPr>
          <w:p w14:paraId="26ABFD8B" w14:textId="135F1068" w:rsidR="00791642" w:rsidRPr="00791642" w:rsidRDefault="00791642" w:rsidP="00791642">
            <w:pPr>
              <w:pStyle w:val="NoSpacing"/>
              <w:jc w:val="center"/>
              <w:rPr>
                <w:rFonts w:cs="Arial"/>
              </w:rPr>
            </w:pPr>
          </w:p>
        </w:tc>
        <w:tc>
          <w:tcPr>
            <w:tcW w:w="1284" w:type="dxa"/>
            <w:vAlign w:val="center"/>
          </w:tcPr>
          <w:p w14:paraId="2F2A9700" w14:textId="2C1DEECE" w:rsidR="00791642" w:rsidRPr="00791642" w:rsidRDefault="00791642" w:rsidP="00791642">
            <w:pPr>
              <w:pStyle w:val="NoSpacing"/>
              <w:jc w:val="center"/>
              <w:rPr>
                <w:rFonts w:cs="Arial"/>
              </w:rPr>
            </w:pPr>
          </w:p>
        </w:tc>
        <w:tc>
          <w:tcPr>
            <w:tcW w:w="1284" w:type="dxa"/>
            <w:vAlign w:val="center"/>
          </w:tcPr>
          <w:p w14:paraId="0FEFA080" w14:textId="6E0AB711" w:rsidR="00791642" w:rsidRPr="00791642" w:rsidRDefault="00791642" w:rsidP="00791642">
            <w:pPr>
              <w:pStyle w:val="NoSpacing"/>
              <w:jc w:val="center"/>
              <w:rPr>
                <w:rFonts w:cs="Arial"/>
              </w:rPr>
            </w:pPr>
          </w:p>
        </w:tc>
        <w:tc>
          <w:tcPr>
            <w:tcW w:w="1284" w:type="dxa"/>
            <w:vAlign w:val="center"/>
          </w:tcPr>
          <w:p w14:paraId="76ED00E3" w14:textId="6EC09B17" w:rsidR="00791642" w:rsidRPr="00791642" w:rsidRDefault="00791642" w:rsidP="00791642">
            <w:pPr>
              <w:pStyle w:val="NoSpacing"/>
              <w:jc w:val="center"/>
              <w:rPr>
                <w:rFonts w:cs="Arial"/>
              </w:rPr>
            </w:pPr>
          </w:p>
        </w:tc>
        <w:tc>
          <w:tcPr>
            <w:tcW w:w="1284" w:type="dxa"/>
            <w:vAlign w:val="center"/>
          </w:tcPr>
          <w:p w14:paraId="50316624" w14:textId="77777777" w:rsidR="00791642" w:rsidRPr="00791642" w:rsidRDefault="00791642" w:rsidP="001E485A">
            <w:pPr>
              <w:pStyle w:val="NoSpacing"/>
              <w:jc w:val="center"/>
              <w:rPr>
                <w:rFonts w:cs="Arial"/>
                <w:b/>
              </w:rPr>
            </w:pPr>
          </w:p>
        </w:tc>
      </w:tr>
      <w:tr w:rsidR="00791642" w:rsidRPr="00791642" w14:paraId="706E2A59" w14:textId="122845A7" w:rsidTr="001E485A">
        <w:trPr>
          <w:trHeight w:val="552"/>
          <w:jc w:val="center"/>
        </w:trPr>
        <w:tc>
          <w:tcPr>
            <w:tcW w:w="3403" w:type="dxa"/>
            <w:shd w:val="clear" w:color="auto" w:fill="A6A6A6" w:themeFill="background1" w:themeFillShade="A6"/>
            <w:vAlign w:val="center"/>
          </w:tcPr>
          <w:p w14:paraId="4CE9ACC9" w14:textId="552FE98E" w:rsidR="00791642" w:rsidRPr="00791642" w:rsidRDefault="00791642" w:rsidP="00791642">
            <w:pPr>
              <w:pStyle w:val="NoSpacing"/>
              <w:rPr>
                <w:rFonts w:cs="Arial"/>
                <w:b/>
              </w:rPr>
            </w:pPr>
            <w:r>
              <w:rPr>
                <w:rFonts w:cs="Arial"/>
                <w:b/>
              </w:rPr>
              <w:t>Revised funding gap</w:t>
            </w:r>
          </w:p>
        </w:tc>
        <w:tc>
          <w:tcPr>
            <w:tcW w:w="1284" w:type="dxa"/>
            <w:shd w:val="clear" w:color="auto" w:fill="A6A6A6" w:themeFill="background1" w:themeFillShade="A6"/>
            <w:vAlign w:val="center"/>
          </w:tcPr>
          <w:p w14:paraId="3B967A8E" w14:textId="29C0CC30" w:rsidR="00791642" w:rsidRPr="00791642" w:rsidRDefault="001E485A" w:rsidP="00975679">
            <w:pPr>
              <w:pStyle w:val="NoSpacing"/>
              <w:jc w:val="center"/>
              <w:rPr>
                <w:rFonts w:cs="Arial"/>
                <w:b/>
              </w:rPr>
            </w:pPr>
            <w:r>
              <w:rPr>
                <w:rFonts w:cs="Arial"/>
                <w:b/>
              </w:rPr>
              <w:t>47.</w:t>
            </w:r>
            <w:r w:rsidR="00975679">
              <w:rPr>
                <w:rFonts w:cs="Arial"/>
                <w:b/>
              </w:rPr>
              <w:t>978</w:t>
            </w:r>
          </w:p>
        </w:tc>
        <w:tc>
          <w:tcPr>
            <w:tcW w:w="1284" w:type="dxa"/>
            <w:shd w:val="clear" w:color="auto" w:fill="A6A6A6" w:themeFill="background1" w:themeFillShade="A6"/>
            <w:vAlign w:val="center"/>
          </w:tcPr>
          <w:p w14:paraId="16E863C5" w14:textId="212E2F58" w:rsidR="00791642" w:rsidRPr="00791642" w:rsidRDefault="0059655B" w:rsidP="00791642">
            <w:pPr>
              <w:pStyle w:val="NoSpacing"/>
              <w:jc w:val="center"/>
              <w:rPr>
                <w:rFonts w:cs="Arial"/>
                <w:b/>
              </w:rPr>
            </w:pPr>
            <w:r>
              <w:rPr>
                <w:rFonts w:cs="Arial"/>
                <w:b/>
              </w:rPr>
              <w:t>35.922</w:t>
            </w:r>
          </w:p>
        </w:tc>
        <w:tc>
          <w:tcPr>
            <w:tcW w:w="1284" w:type="dxa"/>
            <w:shd w:val="clear" w:color="auto" w:fill="A6A6A6" w:themeFill="background1" w:themeFillShade="A6"/>
            <w:vAlign w:val="center"/>
          </w:tcPr>
          <w:p w14:paraId="6C48294C" w14:textId="025E22E4" w:rsidR="00791642" w:rsidRPr="00791642" w:rsidRDefault="0059655B" w:rsidP="00791642">
            <w:pPr>
              <w:pStyle w:val="NoSpacing"/>
              <w:jc w:val="center"/>
              <w:rPr>
                <w:rFonts w:cs="Arial"/>
                <w:b/>
              </w:rPr>
            </w:pPr>
            <w:r>
              <w:rPr>
                <w:rFonts w:cs="Arial"/>
                <w:b/>
              </w:rPr>
              <w:t>34.178</w:t>
            </w:r>
          </w:p>
        </w:tc>
        <w:tc>
          <w:tcPr>
            <w:tcW w:w="1284" w:type="dxa"/>
            <w:shd w:val="clear" w:color="auto" w:fill="A6A6A6" w:themeFill="background1" w:themeFillShade="A6"/>
            <w:vAlign w:val="center"/>
          </w:tcPr>
          <w:p w14:paraId="2765334F" w14:textId="2A046F47" w:rsidR="00791642" w:rsidRPr="00791642" w:rsidRDefault="0059655B" w:rsidP="00791642">
            <w:pPr>
              <w:pStyle w:val="NoSpacing"/>
              <w:jc w:val="center"/>
              <w:rPr>
                <w:rFonts w:cs="Arial"/>
                <w:b/>
              </w:rPr>
            </w:pPr>
            <w:r>
              <w:rPr>
                <w:rFonts w:cs="Arial"/>
                <w:b/>
              </w:rPr>
              <w:t>29.866</w:t>
            </w:r>
          </w:p>
        </w:tc>
        <w:tc>
          <w:tcPr>
            <w:tcW w:w="1284" w:type="dxa"/>
            <w:shd w:val="clear" w:color="auto" w:fill="A6A6A6" w:themeFill="background1" w:themeFillShade="A6"/>
            <w:vAlign w:val="center"/>
          </w:tcPr>
          <w:p w14:paraId="2E04D197" w14:textId="01C6BE41" w:rsidR="00791642" w:rsidRPr="00791642" w:rsidRDefault="0059655B" w:rsidP="00BA18AB">
            <w:pPr>
              <w:pStyle w:val="NoSpacing"/>
              <w:jc w:val="center"/>
              <w:rPr>
                <w:rFonts w:cs="Arial"/>
                <w:b/>
              </w:rPr>
            </w:pPr>
            <w:r>
              <w:rPr>
                <w:rFonts w:cs="Arial"/>
                <w:b/>
              </w:rPr>
              <w:t>147.944</w:t>
            </w:r>
          </w:p>
        </w:tc>
      </w:tr>
    </w:tbl>
    <w:p w14:paraId="0B83B485" w14:textId="77777777" w:rsidR="008150B9" w:rsidRPr="00666242" w:rsidRDefault="008150B9" w:rsidP="007C6727">
      <w:pPr>
        <w:spacing w:after="0"/>
        <w:rPr>
          <w:rFonts w:cs="Arial"/>
          <w:b/>
          <w:highlight w:val="yellow"/>
        </w:rPr>
      </w:pPr>
    </w:p>
    <w:p w14:paraId="56B11081" w14:textId="77777777" w:rsidR="009215EC" w:rsidRPr="007C6727" w:rsidRDefault="006E0BEE" w:rsidP="008D5D96">
      <w:pPr>
        <w:spacing w:after="0"/>
        <w:ind w:left="567" w:hanging="567"/>
        <w:rPr>
          <w:rFonts w:cs="Arial"/>
          <w:b/>
        </w:rPr>
      </w:pPr>
      <w:r w:rsidRPr="007C6727">
        <w:rPr>
          <w:rFonts w:cs="Arial"/>
          <w:b/>
        </w:rPr>
        <w:t xml:space="preserve">1.2 </w:t>
      </w:r>
      <w:r w:rsidR="009215EC" w:rsidRPr="007C6727">
        <w:rPr>
          <w:rFonts w:cs="Arial"/>
          <w:b/>
        </w:rPr>
        <w:t>Conclusion</w:t>
      </w:r>
    </w:p>
    <w:p w14:paraId="61D31BEC" w14:textId="77777777" w:rsidR="009215EC" w:rsidRPr="007C6727" w:rsidRDefault="009215EC" w:rsidP="008D5D96">
      <w:pPr>
        <w:tabs>
          <w:tab w:val="left" w:pos="567"/>
          <w:tab w:val="left" w:pos="1134"/>
        </w:tabs>
        <w:spacing w:after="0"/>
        <w:rPr>
          <w:rFonts w:cs="Arial"/>
        </w:rPr>
      </w:pPr>
    </w:p>
    <w:p w14:paraId="05E36CC5" w14:textId="752C947A" w:rsidR="00FD51C5" w:rsidRDefault="009215EC" w:rsidP="001E485A">
      <w:pPr>
        <w:spacing w:after="0"/>
        <w:rPr>
          <w:rFonts w:cs="Arial"/>
        </w:rPr>
      </w:pPr>
      <w:r w:rsidRPr="007C6727">
        <w:rPr>
          <w:rFonts w:cs="Arial"/>
        </w:rPr>
        <w:t>Lancashire County Council continues to face</w:t>
      </w:r>
      <w:r w:rsidR="008150B9" w:rsidRPr="007C6727">
        <w:rPr>
          <w:rFonts w:cs="Arial"/>
        </w:rPr>
        <w:t>, as previously stated,</w:t>
      </w:r>
      <w:r w:rsidRPr="007C6727">
        <w:rPr>
          <w:rFonts w:cs="Arial"/>
        </w:rPr>
        <w:t xml:space="preserve"> an unprecedented period of financial constraint through to at least 2020/21</w:t>
      </w:r>
      <w:r w:rsidR="00522DCF" w:rsidRPr="007C6727">
        <w:rPr>
          <w:rFonts w:cs="Arial"/>
        </w:rPr>
        <w:t>.</w:t>
      </w:r>
    </w:p>
    <w:p w14:paraId="4A48F6DE" w14:textId="77777777" w:rsidR="001E485A" w:rsidRPr="001E485A" w:rsidRDefault="001E485A" w:rsidP="001E485A">
      <w:pPr>
        <w:spacing w:after="0"/>
        <w:rPr>
          <w:rFonts w:cs="Arial"/>
        </w:rPr>
      </w:pPr>
    </w:p>
    <w:p w14:paraId="59660A50" w14:textId="483BC457" w:rsidR="00FD51C5" w:rsidRPr="007C6727" w:rsidRDefault="00FD51C5" w:rsidP="00FD51C5">
      <w:pPr>
        <w:spacing w:after="0"/>
        <w:rPr>
          <w:rFonts w:cs="Arial"/>
        </w:rPr>
      </w:pPr>
      <w:r w:rsidRPr="007C6727">
        <w:rPr>
          <w:rFonts w:cs="Arial"/>
        </w:rPr>
        <w:t xml:space="preserve">The financial commitment required to fund statutory demand led services </w:t>
      </w:r>
      <w:r>
        <w:rPr>
          <w:rFonts w:cs="Arial"/>
        </w:rPr>
        <w:t xml:space="preserve">as they are currently delivered </w:t>
      </w:r>
      <w:r w:rsidRPr="007C6727">
        <w:rPr>
          <w:rFonts w:cs="Arial"/>
        </w:rPr>
        <w:t xml:space="preserve">is almost certain to result in using up all </w:t>
      </w:r>
      <w:r>
        <w:rPr>
          <w:rFonts w:cs="Arial"/>
        </w:rPr>
        <w:t xml:space="preserve">the </w:t>
      </w:r>
      <w:r w:rsidRPr="007C6727">
        <w:rPr>
          <w:rFonts w:cs="Arial"/>
        </w:rPr>
        <w:t>available resources</w:t>
      </w:r>
      <w:r>
        <w:rPr>
          <w:rFonts w:cs="Arial"/>
        </w:rPr>
        <w:t xml:space="preserve"> available at a point within the timeframe covered by this financial strategy.</w:t>
      </w:r>
      <w:r w:rsidRPr="007C6727">
        <w:rPr>
          <w:rFonts w:cs="Arial"/>
        </w:rPr>
        <w:t xml:space="preserve">  </w:t>
      </w:r>
      <w:r>
        <w:rPr>
          <w:rFonts w:cs="Arial"/>
        </w:rPr>
        <w:t xml:space="preserve">We cannot </w:t>
      </w:r>
      <w:r w:rsidRPr="007C6727">
        <w:rPr>
          <w:rFonts w:cs="Arial"/>
        </w:rPr>
        <w:t>be certain of the point at which funding may not cover statutory demand led services as</w:t>
      </w:r>
      <w:r w:rsidR="009113C7">
        <w:rPr>
          <w:rFonts w:cs="Arial"/>
        </w:rPr>
        <w:t>, for example,</w:t>
      </w:r>
      <w:r w:rsidRPr="007C6727">
        <w:rPr>
          <w:rFonts w:cs="Arial"/>
        </w:rPr>
        <w:t xml:space="preserve"> the resources</w:t>
      </w:r>
      <w:r w:rsidR="009113C7">
        <w:rPr>
          <w:rFonts w:cs="Arial"/>
        </w:rPr>
        <w:t xml:space="preserve"> available to the County Council</w:t>
      </w:r>
      <w:r w:rsidRPr="007C6727">
        <w:rPr>
          <w:rFonts w:cs="Arial"/>
        </w:rPr>
        <w:t xml:space="preserve"> have yet to be confirmed</w:t>
      </w:r>
      <w:r w:rsidR="009113C7">
        <w:rPr>
          <w:rFonts w:cs="Arial"/>
        </w:rPr>
        <w:t xml:space="preserve"> for future years</w:t>
      </w:r>
      <w:r w:rsidRPr="007C6727">
        <w:rPr>
          <w:rFonts w:cs="Arial"/>
        </w:rPr>
        <w:t xml:space="preserve">. However, indications from </w:t>
      </w:r>
      <w:r>
        <w:rPr>
          <w:rFonts w:cs="Arial"/>
        </w:rPr>
        <w:t xml:space="preserve">previous </w:t>
      </w:r>
      <w:r w:rsidRPr="007C6727">
        <w:rPr>
          <w:rFonts w:cs="Arial"/>
        </w:rPr>
        <w:t xml:space="preserve">base budget review </w:t>
      </w:r>
      <w:r>
        <w:rPr>
          <w:rFonts w:cs="Arial"/>
        </w:rPr>
        <w:t xml:space="preserve">tied in with the outturn position delivered in 2015/16 </w:t>
      </w:r>
      <w:r w:rsidRPr="007C6727">
        <w:rPr>
          <w:rFonts w:cs="Arial"/>
        </w:rPr>
        <w:t>suggest that there will be insufficient resources to cover statutory services from 201</w:t>
      </w:r>
      <w:r>
        <w:rPr>
          <w:rFonts w:cs="Arial"/>
        </w:rPr>
        <w:t>8</w:t>
      </w:r>
      <w:r w:rsidRPr="007C6727">
        <w:rPr>
          <w:rFonts w:cs="Arial"/>
        </w:rPr>
        <w:t>/1</w:t>
      </w:r>
      <w:r>
        <w:rPr>
          <w:rFonts w:cs="Arial"/>
        </w:rPr>
        <w:t>9</w:t>
      </w:r>
      <w:r w:rsidRPr="007C6727">
        <w:rPr>
          <w:rFonts w:cs="Arial"/>
        </w:rPr>
        <w:t>.</w:t>
      </w:r>
    </w:p>
    <w:p w14:paraId="0B9BA582" w14:textId="77777777" w:rsidR="003D58F1" w:rsidRPr="00666242" w:rsidRDefault="003D58F1" w:rsidP="008150B9">
      <w:pPr>
        <w:spacing w:after="0"/>
        <w:rPr>
          <w:rFonts w:cs="Arial"/>
          <w:highlight w:val="yellow"/>
        </w:rPr>
      </w:pPr>
    </w:p>
    <w:p w14:paraId="0994DE3C" w14:textId="5C7991DD" w:rsidR="00FD51C5" w:rsidRPr="007C6727" w:rsidRDefault="00FD51C5" w:rsidP="00FD51C5">
      <w:pPr>
        <w:tabs>
          <w:tab w:val="left" w:pos="567"/>
          <w:tab w:val="left" w:pos="1134"/>
        </w:tabs>
        <w:spacing w:after="0"/>
        <w:rPr>
          <w:rFonts w:cs="Arial"/>
        </w:rPr>
      </w:pPr>
      <w:r w:rsidRPr="007C6727">
        <w:rPr>
          <w:rFonts w:cs="Arial"/>
        </w:rPr>
        <w:lastRenderedPageBreak/>
        <w:t xml:space="preserve">The County Council, in redesigning the services it provides to the public, faces the challenge of doing so whilst delivering savings </w:t>
      </w:r>
      <w:r>
        <w:rPr>
          <w:rFonts w:cs="Arial"/>
        </w:rPr>
        <w:t xml:space="preserve">over and above those already agreed </w:t>
      </w:r>
      <w:r w:rsidRPr="007C6727">
        <w:rPr>
          <w:rFonts w:cs="Arial"/>
        </w:rPr>
        <w:t>of an estimated £</w:t>
      </w:r>
      <w:r w:rsidR="009113C7">
        <w:rPr>
          <w:rFonts w:cs="Arial"/>
        </w:rPr>
        <w:t>148</w:t>
      </w:r>
      <w:r>
        <w:rPr>
          <w:rFonts w:cs="Arial"/>
        </w:rPr>
        <w:t>m</w:t>
      </w:r>
      <w:r w:rsidRPr="007C6727">
        <w:rPr>
          <w:rFonts w:cs="Arial"/>
        </w:rPr>
        <w:t xml:space="preserve"> over the next </w:t>
      </w:r>
      <w:r>
        <w:rPr>
          <w:rFonts w:cs="Arial"/>
        </w:rPr>
        <w:t>4</w:t>
      </w:r>
      <w:r w:rsidRPr="007C6727">
        <w:rPr>
          <w:rFonts w:cs="Arial"/>
        </w:rPr>
        <w:t xml:space="preserve"> years. </w:t>
      </w:r>
    </w:p>
    <w:p w14:paraId="5F167E06" w14:textId="77777777" w:rsidR="005B6A8A" w:rsidRPr="00666242" w:rsidRDefault="005B6A8A" w:rsidP="008150B9">
      <w:pPr>
        <w:tabs>
          <w:tab w:val="left" w:pos="567"/>
          <w:tab w:val="left" w:pos="1134"/>
        </w:tabs>
        <w:spacing w:after="0"/>
        <w:rPr>
          <w:rFonts w:cs="Arial"/>
          <w:highlight w:val="yellow"/>
        </w:rPr>
      </w:pPr>
    </w:p>
    <w:p w14:paraId="7CED9FCA" w14:textId="6C76129E" w:rsidR="005B6A8A" w:rsidRPr="00666242" w:rsidRDefault="005B6A8A" w:rsidP="008150B9">
      <w:pPr>
        <w:spacing w:after="0"/>
        <w:rPr>
          <w:rFonts w:cs="Arial"/>
          <w:highlight w:val="yellow"/>
        </w:rPr>
      </w:pPr>
      <w:r w:rsidRPr="007C6727">
        <w:rPr>
          <w:rFonts w:cs="Arial"/>
        </w:rPr>
        <w:t>As part of the process of redesigning its services the County Council has</w:t>
      </w:r>
      <w:r w:rsidR="00FD51C5">
        <w:rPr>
          <w:rFonts w:cs="Arial"/>
        </w:rPr>
        <w:t xml:space="preserve"> previously explicitly</w:t>
      </w:r>
      <w:r w:rsidRPr="007C6727">
        <w:rPr>
          <w:rFonts w:cs="Arial"/>
        </w:rPr>
        <w:t xml:space="preserve"> recognised that it will need to utilise its reserves.</w:t>
      </w:r>
      <w:r w:rsidR="00E418A6" w:rsidRPr="007C6727">
        <w:rPr>
          <w:rFonts w:cs="Arial"/>
        </w:rPr>
        <w:t xml:space="preserve"> Details on the reserves are detailed in the </w:t>
      </w:r>
      <w:r w:rsidR="003B0A25" w:rsidRPr="007C6727">
        <w:rPr>
          <w:rFonts w:cs="Arial"/>
        </w:rPr>
        <w:t xml:space="preserve">Money Matters report </w:t>
      </w:r>
      <w:r w:rsidR="003B0A25" w:rsidRPr="00FF4EC2">
        <w:rPr>
          <w:rFonts w:cs="Arial"/>
        </w:rPr>
        <w:t>Appendix B.</w:t>
      </w:r>
      <w:r w:rsidR="00690476" w:rsidRPr="00FF4EC2">
        <w:rPr>
          <w:rFonts w:cs="Arial"/>
        </w:rPr>
        <w:t xml:space="preserve"> </w:t>
      </w:r>
      <w:r w:rsidRPr="00FF4EC2">
        <w:rPr>
          <w:rFonts w:cs="Arial"/>
        </w:rPr>
        <w:t xml:space="preserve"> </w:t>
      </w:r>
      <w:r w:rsidR="00690476" w:rsidRPr="00FF4EC2">
        <w:rPr>
          <w:rFonts w:cs="Arial"/>
        </w:rPr>
        <w:t>In this report it is noted that a</w:t>
      </w:r>
      <w:r w:rsidR="00FF4EC2" w:rsidRPr="00FF4EC2">
        <w:rPr>
          <w:rFonts w:cs="Arial"/>
        </w:rPr>
        <w:t>s at 1 April 2016</w:t>
      </w:r>
      <w:r w:rsidRPr="00FF4EC2">
        <w:rPr>
          <w:rFonts w:cs="Arial"/>
        </w:rPr>
        <w:t xml:space="preserve"> the Count</w:t>
      </w:r>
      <w:r w:rsidR="00FF4EC2" w:rsidRPr="00FF4EC2">
        <w:rPr>
          <w:rFonts w:cs="Arial"/>
        </w:rPr>
        <w:t>y Council had £31</w:t>
      </w:r>
      <w:r w:rsidR="00FF4EC2">
        <w:rPr>
          <w:rFonts w:cs="Arial"/>
        </w:rPr>
        <w:t>4</w:t>
      </w:r>
      <w:r w:rsidR="00FF4EC2" w:rsidRPr="00FF4EC2">
        <w:rPr>
          <w:rFonts w:cs="Arial"/>
        </w:rPr>
        <w:t>.647</w:t>
      </w:r>
      <w:r w:rsidRPr="00FF4EC2">
        <w:rPr>
          <w:rFonts w:cs="Arial"/>
        </w:rPr>
        <w:t>m of reserves</w:t>
      </w:r>
      <w:r w:rsidR="009113C7">
        <w:rPr>
          <w:rFonts w:cs="Arial"/>
        </w:rPr>
        <w:t>,</w:t>
      </w:r>
      <w:r w:rsidR="008F0D20" w:rsidRPr="00FF4EC2">
        <w:rPr>
          <w:rFonts w:cs="Arial"/>
        </w:rPr>
        <w:t xml:space="preserve"> some of which are already committed.</w:t>
      </w:r>
      <w:r w:rsidRPr="00FF4EC2">
        <w:rPr>
          <w:rFonts w:cs="Arial"/>
        </w:rPr>
        <w:t xml:space="preserve"> </w:t>
      </w:r>
      <w:r w:rsidR="00690476" w:rsidRPr="00FF4EC2">
        <w:rPr>
          <w:rFonts w:cs="Arial"/>
        </w:rPr>
        <w:t>Including the Funding Gap identified in this report</w:t>
      </w:r>
      <w:r w:rsidR="00935FA0" w:rsidRPr="00FF4EC2">
        <w:rPr>
          <w:rFonts w:cs="Arial"/>
        </w:rPr>
        <w:t>, i</w:t>
      </w:r>
      <w:r w:rsidRPr="00FF4EC2">
        <w:rPr>
          <w:rFonts w:cs="Arial"/>
        </w:rPr>
        <w:t xml:space="preserve">t has been identified that there is an </w:t>
      </w:r>
      <w:r w:rsidRPr="003816EC">
        <w:rPr>
          <w:rFonts w:cs="Arial"/>
        </w:rPr>
        <w:t>est</w:t>
      </w:r>
      <w:r w:rsidR="00FF4EC2" w:rsidRPr="003816EC">
        <w:rPr>
          <w:rFonts w:cs="Arial"/>
        </w:rPr>
        <w:t>imated reserves requirement of £</w:t>
      </w:r>
      <w:r w:rsidR="00D81A94" w:rsidRPr="003816EC">
        <w:rPr>
          <w:rFonts w:cs="Arial"/>
        </w:rPr>
        <w:t>47.</w:t>
      </w:r>
      <w:r w:rsidR="00BA18AB">
        <w:rPr>
          <w:rFonts w:cs="Arial"/>
        </w:rPr>
        <w:t>9</w:t>
      </w:r>
      <w:r w:rsidR="00D81A94" w:rsidRPr="003816EC">
        <w:rPr>
          <w:rFonts w:cs="Arial"/>
        </w:rPr>
        <w:t>78</w:t>
      </w:r>
      <w:r w:rsidR="00FF4EC2" w:rsidRPr="003816EC">
        <w:rPr>
          <w:rFonts w:cs="Arial"/>
        </w:rPr>
        <w:t>m to support the revenue budget in 2017</w:t>
      </w:r>
      <w:r w:rsidRPr="003816EC">
        <w:rPr>
          <w:rFonts w:cs="Arial"/>
        </w:rPr>
        <w:t>/1</w:t>
      </w:r>
      <w:r w:rsidR="00FF4EC2" w:rsidRPr="003816EC">
        <w:rPr>
          <w:rFonts w:cs="Arial"/>
        </w:rPr>
        <w:t>8</w:t>
      </w:r>
      <w:r w:rsidRPr="003816EC">
        <w:rPr>
          <w:rFonts w:cs="Arial"/>
        </w:rPr>
        <w:t>.</w:t>
      </w:r>
      <w:r w:rsidR="00FF4EC2" w:rsidRPr="003816EC">
        <w:rPr>
          <w:rFonts w:cs="Arial"/>
        </w:rPr>
        <w:t xml:space="preserve"> </w:t>
      </w:r>
      <w:r w:rsidRPr="003816EC">
        <w:rPr>
          <w:rFonts w:cs="Arial"/>
        </w:rPr>
        <w:t xml:space="preserve"> </w:t>
      </w:r>
      <w:r w:rsidR="008F0D20" w:rsidRPr="003816EC">
        <w:rPr>
          <w:rFonts w:cs="Arial"/>
        </w:rPr>
        <w:t>Consequently,</w:t>
      </w:r>
      <w:r w:rsidR="00C143F0" w:rsidRPr="003816EC">
        <w:rPr>
          <w:rFonts w:cs="Arial"/>
        </w:rPr>
        <w:t xml:space="preserve"> </w:t>
      </w:r>
      <w:r w:rsidR="00173AEB" w:rsidRPr="003816EC">
        <w:rPr>
          <w:rFonts w:cs="Arial"/>
        </w:rPr>
        <w:t xml:space="preserve">by 31st March 2018 it is </w:t>
      </w:r>
      <w:r w:rsidR="009113C7">
        <w:rPr>
          <w:rFonts w:cs="Arial"/>
        </w:rPr>
        <w:t>anticipated</w:t>
      </w:r>
      <w:r w:rsidR="00173AEB" w:rsidRPr="003816EC">
        <w:rPr>
          <w:rFonts w:cs="Arial"/>
        </w:rPr>
        <w:t xml:space="preserve"> that there will only be the £36.000m County Fund and a residual £</w:t>
      </w:r>
      <w:r w:rsidR="00173AEB">
        <w:rPr>
          <w:rFonts w:cs="Arial"/>
        </w:rPr>
        <w:t>35.058</w:t>
      </w:r>
      <w:r w:rsidR="00173AEB" w:rsidRPr="003816EC">
        <w:rPr>
          <w:rFonts w:cs="Arial"/>
        </w:rPr>
        <w:t>m of service reserves</w:t>
      </w:r>
      <w:r w:rsidR="00173AEB">
        <w:rPr>
          <w:rFonts w:cs="Arial"/>
        </w:rPr>
        <w:t xml:space="preserve"> which includes £8.355m school PFI expenditure and £4.931m which is not </w:t>
      </w:r>
      <w:r w:rsidR="009113C7">
        <w:rPr>
          <w:rFonts w:cs="Arial"/>
        </w:rPr>
        <w:t>LCC money, meaning in effect an</w:t>
      </w:r>
      <w:r w:rsidR="00173AEB">
        <w:rPr>
          <w:rFonts w:cs="Arial"/>
        </w:rPr>
        <w:t xml:space="preserve"> available balance of £21.772m</w:t>
      </w:r>
      <w:r w:rsidRPr="003816EC">
        <w:rPr>
          <w:rFonts w:cs="Arial"/>
        </w:rPr>
        <w:t xml:space="preserve">. </w:t>
      </w:r>
      <w:r w:rsidR="00BA18AB">
        <w:rPr>
          <w:rFonts w:cs="Arial"/>
        </w:rPr>
        <w:t xml:space="preserve">This position is </w:t>
      </w:r>
      <w:r w:rsidR="009113C7">
        <w:rPr>
          <w:rFonts w:cs="Arial"/>
        </w:rPr>
        <w:t xml:space="preserve">a forecast </w:t>
      </w:r>
      <w:r w:rsidR="00BA18AB">
        <w:rPr>
          <w:rFonts w:cs="Arial"/>
        </w:rPr>
        <w:t xml:space="preserve">dependent upon a number of key factors that are detailed within Appendix B. </w:t>
      </w:r>
    </w:p>
    <w:p w14:paraId="6D1EB736" w14:textId="77777777" w:rsidR="004475E4" w:rsidRPr="008D5D96" w:rsidRDefault="004475E4" w:rsidP="004475E4">
      <w:pPr>
        <w:autoSpaceDE/>
        <w:autoSpaceDN/>
        <w:adjustRightInd/>
        <w:spacing w:after="0"/>
        <w:jc w:val="left"/>
        <w:rPr>
          <w:rFonts w:cs="Arial"/>
        </w:rPr>
      </w:pPr>
    </w:p>
    <w:p w14:paraId="3C1E1911" w14:textId="77777777" w:rsidR="00735E90" w:rsidRPr="009F2DD7" w:rsidRDefault="00735E90" w:rsidP="00735E90">
      <w:pPr>
        <w:tabs>
          <w:tab w:val="left" w:pos="567"/>
          <w:tab w:val="left" w:pos="1134"/>
        </w:tabs>
        <w:spacing w:after="0"/>
        <w:ind w:left="360" w:hanging="360"/>
        <w:rPr>
          <w:rFonts w:cs="Arial"/>
          <w:b/>
        </w:rPr>
      </w:pPr>
      <w:r w:rsidRPr="009F2DD7">
        <w:rPr>
          <w:rFonts w:cs="Arial"/>
          <w:b/>
        </w:rPr>
        <w:t xml:space="preserve">2. Resources  </w:t>
      </w:r>
    </w:p>
    <w:p w14:paraId="69B47791" w14:textId="77777777" w:rsidR="00735E90" w:rsidRPr="009F2DD7" w:rsidRDefault="00735E90" w:rsidP="00735E90">
      <w:pPr>
        <w:tabs>
          <w:tab w:val="left" w:pos="567"/>
          <w:tab w:val="left" w:pos="1134"/>
        </w:tabs>
        <w:spacing w:after="0"/>
        <w:rPr>
          <w:rFonts w:cs="Arial"/>
          <w:b/>
        </w:rPr>
      </w:pPr>
    </w:p>
    <w:p w14:paraId="4B5BE013" w14:textId="249BDA56" w:rsidR="00735E90" w:rsidRPr="009F2DD7" w:rsidRDefault="00BA18AB" w:rsidP="00735E90">
      <w:pPr>
        <w:tabs>
          <w:tab w:val="left" w:pos="567"/>
          <w:tab w:val="left" w:pos="1134"/>
        </w:tabs>
        <w:spacing w:after="0"/>
        <w:rPr>
          <w:rFonts w:cs="Arial"/>
        </w:rPr>
      </w:pPr>
      <w:r>
        <w:rPr>
          <w:rFonts w:cs="Arial"/>
        </w:rPr>
        <w:t>The MTFS includes</w:t>
      </w:r>
      <w:r w:rsidR="0078440C">
        <w:rPr>
          <w:rFonts w:cs="Arial"/>
        </w:rPr>
        <w:t xml:space="preserve"> government funding based on the Secretary of State</w:t>
      </w:r>
      <w:r>
        <w:rPr>
          <w:rFonts w:cs="Arial"/>
        </w:rPr>
        <w:t>'</w:t>
      </w:r>
      <w:r w:rsidR="0078440C">
        <w:rPr>
          <w:rFonts w:cs="Arial"/>
        </w:rPr>
        <w:t xml:space="preserve">s proposed </w:t>
      </w:r>
      <w:r w:rsidR="004C00D2">
        <w:rPr>
          <w:rFonts w:cs="Arial"/>
        </w:rPr>
        <w:t>allocations</w:t>
      </w:r>
      <w:r w:rsidR="0078440C">
        <w:rPr>
          <w:rFonts w:cs="Arial"/>
        </w:rPr>
        <w:t xml:space="preserve"> up to 2019/20. </w:t>
      </w:r>
    </w:p>
    <w:p w14:paraId="1EB0100C" w14:textId="77777777" w:rsidR="00735E90" w:rsidRPr="00666242" w:rsidRDefault="00735E90" w:rsidP="00735E90">
      <w:pPr>
        <w:autoSpaceDE/>
        <w:autoSpaceDN/>
        <w:adjustRightInd/>
        <w:spacing w:after="0"/>
        <w:jc w:val="left"/>
        <w:rPr>
          <w:rFonts w:cs="Arial"/>
          <w:highlight w:val="yellow"/>
        </w:rPr>
      </w:pPr>
    </w:p>
    <w:p w14:paraId="63645959" w14:textId="670BAE87" w:rsidR="009F2DD7" w:rsidRPr="00CD1DFD" w:rsidRDefault="009F2DD7" w:rsidP="009F2DD7">
      <w:pPr>
        <w:rPr>
          <w:rFonts w:cs="Arial"/>
        </w:rPr>
      </w:pPr>
      <w:r>
        <w:rPr>
          <w:rFonts w:cs="Arial"/>
        </w:rPr>
        <w:t>Following</w:t>
      </w:r>
      <w:r w:rsidRPr="00CD1DFD">
        <w:rPr>
          <w:rFonts w:cs="Arial"/>
        </w:rPr>
        <w:t xml:space="preserve"> decisions </w:t>
      </w:r>
      <w:r w:rsidR="0078440C">
        <w:rPr>
          <w:rFonts w:cs="Arial"/>
        </w:rPr>
        <w:t xml:space="preserve">on Council Tax and the application of capital receipts </w:t>
      </w:r>
      <w:r w:rsidRPr="00CD1DFD">
        <w:rPr>
          <w:rFonts w:cs="Arial"/>
        </w:rPr>
        <w:t xml:space="preserve">taken in setting the 2016/17 </w:t>
      </w:r>
      <w:r>
        <w:rPr>
          <w:rFonts w:cs="Arial"/>
        </w:rPr>
        <w:t>budget</w:t>
      </w:r>
      <w:r w:rsidRPr="00CD1DFD">
        <w:rPr>
          <w:rFonts w:cs="Arial"/>
        </w:rPr>
        <w:t xml:space="preserve"> by Full Council in February 2016 </w:t>
      </w:r>
      <w:r w:rsidR="0078440C">
        <w:rPr>
          <w:rFonts w:cs="Arial"/>
        </w:rPr>
        <w:t>t</w:t>
      </w:r>
      <w:r w:rsidR="00BA18AB">
        <w:rPr>
          <w:rFonts w:cs="Arial"/>
        </w:rPr>
        <w:t>he estimated resources built in</w:t>
      </w:r>
      <w:r w:rsidRPr="00CD1DFD">
        <w:rPr>
          <w:rFonts w:cs="Arial"/>
        </w:rPr>
        <w:t>to the</w:t>
      </w:r>
      <w:r w:rsidR="00BA18AB">
        <w:rPr>
          <w:rFonts w:cs="Arial"/>
        </w:rPr>
        <w:t xml:space="preserve"> current</w:t>
      </w:r>
      <w:r w:rsidRPr="00CD1DFD">
        <w:rPr>
          <w:rFonts w:cs="Arial"/>
        </w:rPr>
        <w:t xml:space="preserve"> MTFS are</w:t>
      </w:r>
      <w:r w:rsidR="00BA18AB">
        <w:rPr>
          <w:rFonts w:cs="Arial"/>
        </w:rPr>
        <w:t xml:space="preserve"> as follows</w:t>
      </w:r>
      <w:r w:rsidRPr="00CD1DFD">
        <w:rPr>
          <w:rFonts w:cs="Arial"/>
        </w:rPr>
        <w:t>:</w:t>
      </w:r>
    </w:p>
    <w:p w14:paraId="1BC4A5FE" w14:textId="77777777" w:rsidR="00735E90" w:rsidRPr="00666242" w:rsidRDefault="00735E90" w:rsidP="00735E90">
      <w:pPr>
        <w:tabs>
          <w:tab w:val="left" w:pos="567"/>
          <w:tab w:val="left" w:pos="1134"/>
        </w:tabs>
        <w:spacing w:after="0"/>
        <w:rPr>
          <w:rFonts w:cs="Arial"/>
          <w:highlight w:val="yellow"/>
        </w:rPr>
      </w:pPr>
    </w:p>
    <w:tbl>
      <w:tblPr>
        <w:tblStyle w:val="TableGrid"/>
        <w:tblW w:w="0" w:type="auto"/>
        <w:jc w:val="center"/>
        <w:tblLayout w:type="fixed"/>
        <w:tblLook w:val="04A0" w:firstRow="1" w:lastRow="0" w:firstColumn="1" w:lastColumn="0" w:noHBand="0" w:noVBand="1"/>
      </w:tblPr>
      <w:tblGrid>
        <w:gridCol w:w="3114"/>
        <w:gridCol w:w="1284"/>
        <w:gridCol w:w="1284"/>
        <w:gridCol w:w="1284"/>
        <w:gridCol w:w="1284"/>
      </w:tblGrid>
      <w:tr w:rsidR="009F2DD7" w:rsidRPr="00CD1DFD" w14:paraId="65ED46C6" w14:textId="77777777" w:rsidTr="00AC67F1">
        <w:trPr>
          <w:trHeight w:val="593"/>
          <w:jc w:val="center"/>
        </w:trPr>
        <w:tc>
          <w:tcPr>
            <w:tcW w:w="3114" w:type="dxa"/>
            <w:shd w:val="clear" w:color="auto" w:fill="BFBFBF" w:themeFill="background1" w:themeFillShade="BF"/>
            <w:vAlign w:val="center"/>
          </w:tcPr>
          <w:p w14:paraId="6220C202" w14:textId="77777777" w:rsidR="009F2DD7" w:rsidRPr="00CD1DFD" w:rsidRDefault="009F2DD7" w:rsidP="00AC67F1">
            <w:pPr>
              <w:pStyle w:val="NoSpacing"/>
              <w:jc w:val="both"/>
              <w:rPr>
                <w:rFonts w:cs="Arial"/>
              </w:rPr>
            </w:pPr>
          </w:p>
        </w:tc>
        <w:tc>
          <w:tcPr>
            <w:tcW w:w="1284" w:type="dxa"/>
            <w:shd w:val="clear" w:color="auto" w:fill="BFBFBF" w:themeFill="background1" w:themeFillShade="BF"/>
            <w:vAlign w:val="center"/>
          </w:tcPr>
          <w:p w14:paraId="1DBFC489" w14:textId="77777777" w:rsidR="009F2DD7" w:rsidRPr="00CD1DFD" w:rsidRDefault="009F2DD7" w:rsidP="00AC67F1">
            <w:pPr>
              <w:pStyle w:val="NoSpacing"/>
              <w:jc w:val="center"/>
              <w:rPr>
                <w:rFonts w:cs="Arial"/>
                <w:b/>
              </w:rPr>
            </w:pPr>
            <w:r w:rsidRPr="00CD1DFD">
              <w:rPr>
                <w:rFonts w:cs="Arial"/>
                <w:b/>
              </w:rPr>
              <w:t>2017/18</w:t>
            </w:r>
          </w:p>
          <w:p w14:paraId="60E36E45" w14:textId="77777777" w:rsidR="009F2DD7" w:rsidRPr="00CD1DFD" w:rsidRDefault="009F2DD7" w:rsidP="00AC67F1">
            <w:pPr>
              <w:pStyle w:val="NoSpacing"/>
              <w:jc w:val="center"/>
              <w:rPr>
                <w:rFonts w:cs="Arial"/>
                <w:b/>
              </w:rPr>
            </w:pPr>
            <w:r w:rsidRPr="00CD1DFD">
              <w:rPr>
                <w:rFonts w:cs="Arial"/>
                <w:b/>
              </w:rPr>
              <w:t>£m</w:t>
            </w:r>
          </w:p>
        </w:tc>
        <w:tc>
          <w:tcPr>
            <w:tcW w:w="1284" w:type="dxa"/>
            <w:shd w:val="clear" w:color="auto" w:fill="BFBFBF" w:themeFill="background1" w:themeFillShade="BF"/>
            <w:vAlign w:val="center"/>
          </w:tcPr>
          <w:p w14:paraId="100A373E" w14:textId="77777777" w:rsidR="009F2DD7" w:rsidRPr="00CD1DFD" w:rsidRDefault="009F2DD7" w:rsidP="00AC67F1">
            <w:pPr>
              <w:pStyle w:val="NoSpacing"/>
              <w:jc w:val="center"/>
              <w:rPr>
                <w:rFonts w:cs="Arial"/>
                <w:b/>
              </w:rPr>
            </w:pPr>
            <w:r w:rsidRPr="00CD1DFD">
              <w:rPr>
                <w:rFonts w:cs="Arial"/>
                <w:b/>
              </w:rPr>
              <w:t>2018/19</w:t>
            </w:r>
          </w:p>
          <w:p w14:paraId="72F607C2" w14:textId="77777777" w:rsidR="009F2DD7" w:rsidRPr="00CD1DFD" w:rsidRDefault="009F2DD7" w:rsidP="00AC67F1">
            <w:pPr>
              <w:pStyle w:val="NoSpacing"/>
              <w:jc w:val="center"/>
              <w:rPr>
                <w:rFonts w:cs="Arial"/>
                <w:b/>
              </w:rPr>
            </w:pPr>
            <w:r w:rsidRPr="00CD1DFD">
              <w:rPr>
                <w:rFonts w:cs="Arial"/>
                <w:b/>
              </w:rPr>
              <w:t>£m</w:t>
            </w:r>
          </w:p>
        </w:tc>
        <w:tc>
          <w:tcPr>
            <w:tcW w:w="1284" w:type="dxa"/>
            <w:shd w:val="clear" w:color="auto" w:fill="BFBFBF" w:themeFill="background1" w:themeFillShade="BF"/>
            <w:vAlign w:val="center"/>
          </w:tcPr>
          <w:p w14:paraId="63948D31" w14:textId="77777777" w:rsidR="009F2DD7" w:rsidRPr="00CD1DFD" w:rsidRDefault="009F2DD7" w:rsidP="00AC67F1">
            <w:pPr>
              <w:pStyle w:val="NoSpacing"/>
              <w:jc w:val="center"/>
              <w:rPr>
                <w:rFonts w:cs="Arial"/>
                <w:b/>
              </w:rPr>
            </w:pPr>
            <w:r w:rsidRPr="00CD1DFD">
              <w:rPr>
                <w:rFonts w:cs="Arial"/>
                <w:b/>
              </w:rPr>
              <w:t>2019/20</w:t>
            </w:r>
          </w:p>
          <w:p w14:paraId="54F98A69" w14:textId="77777777" w:rsidR="009F2DD7" w:rsidRPr="00CD1DFD" w:rsidRDefault="009F2DD7" w:rsidP="00AC67F1">
            <w:pPr>
              <w:pStyle w:val="NoSpacing"/>
              <w:jc w:val="center"/>
              <w:rPr>
                <w:rFonts w:cs="Arial"/>
                <w:b/>
              </w:rPr>
            </w:pPr>
            <w:r w:rsidRPr="00CD1DFD">
              <w:rPr>
                <w:rFonts w:cs="Arial"/>
                <w:b/>
              </w:rPr>
              <w:t>£m</w:t>
            </w:r>
          </w:p>
        </w:tc>
        <w:tc>
          <w:tcPr>
            <w:tcW w:w="1284" w:type="dxa"/>
            <w:shd w:val="clear" w:color="auto" w:fill="BFBFBF" w:themeFill="background1" w:themeFillShade="BF"/>
            <w:vAlign w:val="center"/>
          </w:tcPr>
          <w:p w14:paraId="043FB06B" w14:textId="77777777" w:rsidR="009F2DD7" w:rsidRPr="00CD1DFD" w:rsidRDefault="009F2DD7" w:rsidP="00AC67F1">
            <w:pPr>
              <w:pStyle w:val="NoSpacing"/>
              <w:jc w:val="center"/>
              <w:rPr>
                <w:rFonts w:cs="Arial"/>
                <w:b/>
              </w:rPr>
            </w:pPr>
            <w:r w:rsidRPr="00CD1DFD">
              <w:rPr>
                <w:rFonts w:cs="Arial"/>
                <w:b/>
              </w:rPr>
              <w:t>2020/21</w:t>
            </w:r>
          </w:p>
          <w:p w14:paraId="1A5FBD49" w14:textId="77777777" w:rsidR="009F2DD7" w:rsidRPr="00CD1DFD" w:rsidRDefault="009F2DD7" w:rsidP="00AC67F1">
            <w:pPr>
              <w:pStyle w:val="NoSpacing"/>
              <w:jc w:val="center"/>
              <w:rPr>
                <w:rFonts w:cs="Arial"/>
                <w:b/>
              </w:rPr>
            </w:pPr>
            <w:r w:rsidRPr="00CD1DFD">
              <w:rPr>
                <w:rFonts w:cs="Arial"/>
                <w:b/>
              </w:rPr>
              <w:t>£m</w:t>
            </w:r>
          </w:p>
        </w:tc>
      </w:tr>
      <w:tr w:rsidR="009F2DD7" w:rsidRPr="00CD1DFD" w14:paraId="3B4F7054" w14:textId="77777777" w:rsidTr="00AC67F1">
        <w:trPr>
          <w:trHeight w:val="552"/>
          <w:jc w:val="center"/>
        </w:trPr>
        <w:tc>
          <w:tcPr>
            <w:tcW w:w="3114" w:type="dxa"/>
            <w:vAlign w:val="center"/>
          </w:tcPr>
          <w:p w14:paraId="5AC10F0B" w14:textId="77777777" w:rsidR="009F2DD7" w:rsidRPr="00CD1DFD" w:rsidRDefault="009F2DD7" w:rsidP="00AC67F1">
            <w:pPr>
              <w:pStyle w:val="NoSpacing"/>
              <w:spacing w:line="276" w:lineRule="auto"/>
              <w:rPr>
                <w:rFonts w:cs="Arial"/>
              </w:rPr>
            </w:pPr>
            <w:r w:rsidRPr="00CD1DFD">
              <w:rPr>
                <w:rFonts w:cs="Arial"/>
              </w:rPr>
              <w:t>Revenue Support Grant</w:t>
            </w:r>
          </w:p>
        </w:tc>
        <w:tc>
          <w:tcPr>
            <w:tcW w:w="1284" w:type="dxa"/>
            <w:vAlign w:val="center"/>
          </w:tcPr>
          <w:p w14:paraId="3B6AEF2A" w14:textId="77777777" w:rsidR="009F2DD7" w:rsidRPr="00796ECB" w:rsidRDefault="009F2DD7" w:rsidP="00AC67F1">
            <w:pPr>
              <w:pStyle w:val="NoSpacing"/>
              <w:spacing w:line="276" w:lineRule="auto"/>
              <w:jc w:val="right"/>
              <w:rPr>
                <w:rFonts w:cs="Arial"/>
              </w:rPr>
            </w:pPr>
            <w:r w:rsidRPr="00796ECB">
              <w:rPr>
                <w:rFonts w:cs="Arial"/>
              </w:rPr>
              <w:t>81.508</w:t>
            </w:r>
          </w:p>
        </w:tc>
        <w:tc>
          <w:tcPr>
            <w:tcW w:w="1284" w:type="dxa"/>
            <w:vAlign w:val="center"/>
          </w:tcPr>
          <w:p w14:paraId="1065F3C1" w14:textId="77777777" w:rsidR="009F2DD7" w:rsidRPr="00CD1DFD" w:rsidRDefault="009F2DD7" w:rsidP="00AC67F1">
            <w:pPr>
              <w:pStyle w:val="NoSpacing"/>
              <w:spacing w:line="276" w:lineRule="auto"/>
              <w:jc w:val="right"/>
              <w:rPr>
                <w:rFonts w:cs="Arial"/>
              </w:rPr>
            </w:pPr>
            <w:r w:rsidRPr="00CD1DFD">
              <w:rPr>
                <w:rFonts w:cs="Arial"/>
              </w:rPr>
              <w:t>56.979</w:t>
            </w:r>
          </w:p>
        </w:tc>
        <w:tc>
          <w:tcPr>
            <w:tcW w:w="1284" w:type="dxa"/>
            <w:vAlign w:val="center"/>
          </w:tcPr>
          <w:p w14:paraId="3244F042" w14:textId="77777777" w:rsidR="009F2DD7" w:rsidRPr="00796ECB" w:rsidRDefault="009F2DD7" w:rsidP="00AC67F1">
            <w:pPr>
              <w:pStyle w:val="NoSpacing"/>
              <w:spacing w:line="276" w:lineRule="auto"/>
              <w:jc w:val="right"/>
              <w:rPr>
                <w:rFonts w:cs="Arial"/>
              </w:rPr>
            </w:pPr>
            <w:r w:rsidRPr="00796ECB">
              <w:rPr>
                <w:rFonts w:cs="Arial"/>
              </w:rPr>
              <w:t>32.894</w:t>
            </w:r>
          </w:p>
        </w:tc>
        <w:tc>
          <w:tcPr>
            <w:tcW w:w="1284" w:type="dxa"/>
            <w:vAlign w:val="center"/>
          </w:tcPr>
          <w:p w14:paraId="19C1CFD9" w14:textId="77777777" w:rsidR="009F2DD7" w:rsidRPr="00CD1DFD" w:rsidRDefault="009F2DD7" w:rsidP="00AC67F1">
            <w:pPr>
              <w:pStyle w:val="NoSpacing"/>
              <w:spacing w:line="276" w:lineRule="auto"/>
              <w:jc w:val="right"/>
              <w:rPr>
                <w:rFonts w:cs="Arial"/>
              </w:rPr>
            </w:pPr>
            <w:r w:rsidRPr="00CD1DFD">
              <w:rPr>
                <w:rFonts w:cs="Arial"/>
              </w:rPr>
              <w:t>26.928</w:t>
            </w:r>
          </w:p>
        </w:tc>
      </w:tr>
      <w:tr w:rsidR="009F2DD7" w:rsidRPr="00CD1DFD" w14:paraId="69F7397E" w14:textId="77777777" w:rsidTr="00AC67F1">
        <w:trPr>
          <w:trHeight w:val="552"/>
          <w:jc w:val="center"/>
        </w:trPr>
        <w:tc>
          <w:tcPr>
            <w:tcW w:w="3114" w:type="dxa"/>
            <w:vAlign w:val="center"/>
          </w:tcPr>
          <w:p w14:paraId="71951EB4" w14:textId="77777777" w:rsidR="009F2DD7" w:rsidRPr="00CD1DFD" w:rsidRDefault="009F2DD7" w:rsidP="00AC67F1">
            <w:pPr>
              <w:pStyle w:val="NoSpacing"/>
              <w:spacing w:line="276" w:lineRule="auto"/>
              <w:rPr>
                <w:rFonts w:cs="Arial"/>
              </w:rPr>
            </w:pPr>
            <w:r w:rsidRPr="00CD1DFD">
              <w:rPr>
                <w:rFonts w:cs="Arial"/>
              </w:rPr>
              <w:t>Business Rates</w:t>
            </w:r>
          </w:p>
        </w:tc>
        <w:tc>
          <w:tcPr>
            <w:tcW w:w="1284" w:type="dxa"/>
            <w:vAlign w:val="center"/>
          </w:tcPr>
          <w:p w14:paraId="00C7D794" w14:textId="77777777" w:rsidR="009F2DD7" w:rsidRPr="00796ECB" w:rsidRDefault="009F2DD7" w:rsidP="00AC67F1">
            <w:pPr>
              <w:pStyle w:val="NoSpacing"/>
              <w:spacing w:line="276" w:lineRule="auto"/>
              <w:jc w:val="right"/>
              <w:rPr>
                <w:rFonts w:cs="Arial"/>
              </w:rPr>
            </w:pPr>
            <w:r w:rsidRPr="00796ECB">
              <w:rPr>
                <w:rFonts w:cs="Arial"/>
              </w:rPr>
              <w:t>179.418</w:t>
            </w:r>
          </w:p>
        </w:tc>
        <w:tc>
          <w:tcPr>
            <w:tcW w:w="1284" w:type="dxa"/>
            <w:vAlign w:val="center"/>
          </w:tcPr>
          <w:p w14:paraId="0DA609BB" w14:textId="77777777" w:rsidR="009F2DD7" w:rsidRPr="00CD1DFD" w:rsidRDefault="009F2DD7" w:rsidP="00AC67F1">
            <w:pPr>
              <w:pStyle w:val="NoSpacing"/>
              <w:spacing w:line="276" w:lineRule="auto"/>
              <w:jc w:val="right"/>
              <w:rPr>
                <w:rFonts w:cs="Arial"/>
              </w:rPr>
            </w:pPr>
            <w:r w:rsidRPr="00CD1DFD">
              <w:rPr>
                <w:rFonts w:cs="Arial"/>
              </w:rPr>
              <w:t>185.508</w:t>
            </w:r>
          </w:p>
        </w:tc>
        <w:tc>
          <w:tcPr>
            <w:tcW w:w="1284" w:type="dxa"/>
            <w:vAlign w:val="center"/>
          </w:tcPr>
          <w:p w14:paraId="35D010EB" w14:textId="77777777" w:rsidR="009F2DD7" w:rsidRPr="00796ECB" w:rsidRDefault="009F2DD7" w:rsidP="00AC67F1">
            <w:pPr>
              <w:pStyle w:val="NoSpacing"/>
              <w:spacing w:line="276" w:lineRule="auto"/>
              <w:jc w:val="right"/>
              <w:rPr>
                <w:rFonts w:cs="Arial"/>
              </w:rPr>
            </w:pPr>
            <w:r w:rsidRPr="00796ECB">
              <w:rPr>
                <w:rFonts w:cs="Arial"/>
              </w:rPr>
              <w:t>190.480</w:t>
            </w:r>
          </w:p>
        </w:tc>
        <w:tc>
          <w:tcPr>
            <w:tcW w:w="1284" w:type="dxa"/>
            <w:vAlign w:val="center"/>
          </w:tcPr>
          <w:p w14:paraId="0A25DF61" w14:textId="77777777" w:rsidR="009F2DD7" w:rsidRPr="00CD1DFD" w:rsidRDefault="009F2DD7" w:rsidP="00AC67F1">
            <w:pPr>
              <w:pStyle w:val="NoSpacing"/>
              <w:spacing w:line="276" w:lineRule="auto"/>
              <w:jc w:val="right"/>
              <w:rPr>
                <w:rFonts w:cs="Arial"/>
              </w:rPr>
            </w:pPr>
            <w:r w:rsidRPr="00CD1DFD">
              <w:rPr>
                <w:rFonts w:cs="Arial"/>
              </w:rPr>
              <w:t>195.569</w:t>
            </w:r>
          </w:p>
        </w:tc>
      </w:tr>
      <w:tr w:rsidR="009F2DD7" w:rsidRPr="00CD1DFD" w14:paraId="5D5C0E30" w14:textId="77777777" w:rsidTr="00AC67F1">
        <w:trPr>
          <w:trHeight w:val="552"/>
          <w:jc w:val="center"/>
        </w:trPr>
        <w:tc>
          <w:tcPr>
            <w:tcW w:w="3114" w:type="dxa"/>
            <w:vAlign w:val="center"/>
          </w:tcPr>
          <w:p w14:paraId="4C658BE3" w14:textId="77777777" w:rsidR="009F2DD7" w:rsidRPr="00CD1DFD" w:rsidRDefault="009F2DD7" w:rsidP="00AC67F1">
            <w:pPr>
              <w:pStyle w:val="NoSpacing"/>
              <w:spacing w:line="276" w:lineRule="auto"/>
              <w:rPr>
                <w:rFonts w:cs="Arial"/>
              </w:rPr>
            </w:pPr>
            <w:r w:rsidRPr="00CD1DFD">
              <w:rPr>
                <w:rFonts w:cs="Arial"/>
              </w:rPr>
              <w:t>Council Tax</w:t>
            </w:r>
          </w:p>
        </w:tc>
        <w:tc>
          <w:tcPr>
            <w:tcW w:w="1284" w:type="dxa"/>
            <w:vAlign w:val="center"/>
          </w:tcPr>
          <w:p w14:paraId="6EB459A1" w14:textId="77777777" w:rsidR="009F2DD7" w:rsidRPr="00796ECB" w:rsidRDefault="009F2DD7" w:rsidP="00AC67F1">
            <w:pPr>
              <w:pStyle w:val="NoSpacing"/>
              <w:spacing w:line="276" w:lineRule="auto"/>
              <w:jc w:val="right"/>
              <w:rPr>
                <w:rFonts w:cs="Arial"/>
              </w:rPr>
            </w:pPr>
            <w:r w:rsidRPr="00796ECB">
              <w:rPr>
                <w:rFonts w:cs="Arial"/>
              </w:rPr>
              <w:t>412.182</w:t>
            </w:r>
          </w:p>
        </w:tc>
        <w:tc>
          <w:tcPr>
            <w:tcW w:w="1284" w:type="dxa"/>
            <w:vAlign w:val="center"/>
          </w:tcPr>
          <w:p w14:paraId="17DF7159" w14:textId="77777777" w:rsidR="009F2DD7" w:rsidRPr="00CD1DFD" w:rsidRDefault="009F2DD7" w:rsidP="00AC67F1">
            <w:pPr>
              <w:pStyle w:val="NoSpacing"/>
              <w:spacing w:line="276" w:lineRule="auto"/>
              <w:jc w:val="right"/>
              <w:rPr>
                <w:rFonts w:cs="Arial"/>
              </w:rPr>
            </w:pPr>
            <w:r w:rsidRPr="00CD1DFD">
              <w:rPr>
                <w:rFonts w:cs="Arial"/>
              </w:rPr>
              <w:t>413.196</w:t>
            </w:r>
          </w:p>
        </w:tc>
        <w:tc>
          <w:tcPr>
            <w:tcW w:w="1284" w:type="dxa"/>
            <w:vAlign w:val="center"/>
          </w:tcPr>
          <w:p w14:paraId="720C208C" w14:textId="77777777" w:rsidR="009F2DD7" w:rsidRPr="00796ECB" w:rsidRDefault="009F2DD7" w:rsidP="00AC67F1">
            <w:pPr>
              <w:pStyle w:val="NoSpacing"/>
              <w:spacing w:line="276" w:lineRule="auto"/>
              <w:jc w:val="right"/>
              <w:rPr>
                <w:rFonts w:cs="Arial"/>
              </w:rPr>
            </w:pPr>
            <w:r w:rsidRPr="00796ECB">
              <w:rPr>
                <w:rFonts w:cs="Arial"/>
              </w:rPr>
              <w:t>414.</w:t>
            </w:r>
            <w:r>
              <w:rPr>
                <w:rFonts w:cs="Arial"/>
              </w:rPr>
              <w:t>21</w:t>
            </w:r>
            <w:r w:rsidRPr="00796ECB">
              <w:rPr>
                <w:rFonts w:cs="Arial"/>
              </w:rPr>
              <w:t>5</w:t>
            </w:r>
          </w:p>
        </w:tc>
        <w:tc>
          <w:tcPr>
            <w:tcW w:w="1284" w:type="dxa"/>
            <w:vAlign w:val="center"/>
          </w:tcPr>
          <w:p w14:paraId="5649840F" w14:textId="77777777" w:rsidR="009F2DD7" w:rsidRPr="00CD1DFD" w:rsidRDefault="009F2DD7" w:rsidP="00AC67F1">
            <w:pPr>
              <w:pStyle w:val="NoSpacing"/>
              <w:spacing w:line="276" w:lineRule="auto"/>
              <w:jc w:val="right"/>
              <w:rPr>
                <w:rFonts w:cs="Arial"/>
              </w:rPr>
            </w:pPr>
            <w:r w:rsidRPr="00CD1DFD">
              <w:rPr>
                <w:rFonts w:cs="Arial"/>
              </w:rPr>
              <w:t>415.237</w:t>
            </w:r>
          </w:p>
        </w:tc>
      </w:tr>
      <w:tr w:rsidR="009F2DD7" w:rsidRPr="00CD1DFD" w14:paraId="3907767A" w14:textId="77777777" w:rsidTr="00AC67F1">
        <w:trPr>
          <w:trHeight w:val="552"/>
          <w:jc w:val="center"/>
        </w:trPr>
        <w:tc>
          <w:tcPr>
            <w:tcW w:w="3114" w:type="dxa"/>
            <w:vAlign w:val="center"/>
          </w:tcPr>
          <w:p w14:paraId="2F992001" w14:textId="77777777" w:rsidR="009F2DD7" w:rsidRPr="00CD1DFD" w:rsidRDefault="009F2DD7" w:rsidP="00AC67F1">
            <w:pPr>
              <w:pStyle w:val="NoSpacing"/>
              <w:spacing w:line="276" w:lineRule="auto"/>
              <w:rPr>
                <w:rFonts w:cs="Arial"/>
              </w:rPr>
            </w:pPr>
            <w:r w:rsidRPr="00CD1DFD">
              <w:rPr>
                <w:rFonts w:cs="Arial"/>
              </w:rPr>
              <w:t>New Homes Bonus</w:t>
            </w:r>
          </w:p>
        </w:tc>
        <w:tc>
          <w:tcPr>
            <w:tcW w:w="1284" w:type="dxa"/>
            <w:vAlign w:val="center"/>
          </w:tcPr>
          <w:p w14:paraId="206D94AA" w14:textId="77777777" w:rsidR="009F2DD7" w:rsidRPr="00796ECB" w:rsidRDefault="009F2DD7" w:rsidP="00AC67F1">
            <w:pPr>
              <w:pStyle w:val="NoSpacing"/>
              <w:spacing w:line="276" w:lineRule="auto"/>
              <w:jc w:val="right"/>
              <w:rPr>
                <w:rFonts w:cs="Arial"/>
              </w:rPr>
            </w:pPr>
            <w:r w:rsidRPr="00796ECB">
              <w:rPr>
                <w:rFonts w:cs="Arial"/>
              </w:rPr>
              <w:t>5.530</w:t>
            </w:r>
          </w:p>
        </w:tc>
        <w:tc>
          <w:tcPr>
            <w:tcW w:w="1284" w:type="dxa"/>
            <w:vAlign w:val="center"/>
          </w:tcPr>
          <w:p w14:paraId="26ED107B" w14:textId="77777777" w:rsidR="009F2DD7" w:rsidRPr="00CD1DFD" w:rsidRDefault="009F2DD7" w:rsidP="00AC67F1">
            <w:pPr>
              <w:pStyle w:val="NoSpacing"/>
              <w:spacing w:line="276" w:lineRule="auto"/>
              <w:jc w:val="right"/>
              <w:rPr>
                <w:rFonts w:cs="Arial"/>
              </w:rPr>
            </w:pPr>
            <w:r w:rsidRPr="00CD1DFD">
              <w:rPr>
                <w:rFonts w:cs="Arial"/>
              </w:rPr>
              <w:t>3.475</w:t>
            </w:r>
          </w:p>
        </w:tc>
        <w:tc>
          <w:tcPr>
            <w:tcW w:w="1284" w:type="dxa"/>
            <w:vAlign w:val="center"/>
          </w:tcPr>
          <w:p w14:paraId="6F9E068A" w14:textId="77777777" w:rsidR="009F2DD7" w:rsidRPr="00796ECB" w:rsidRDefault="009F2DD7" w:rsidP="00AC67F1">
            <w:pPr>
              <w:pStyle w:val="NoSpacing"/>
              <w:spacing w:line="276" w:lineRule="auto"/>
              <w:jc w:val="right"/>
              <w:rPr>
                <w:rFonts w:cs="Arial"/>
              </w:rPr>
            </w:pPr>
            <w:r w:rsidRPr="00796ECB">
              <w:rPr>
                <w:rFonts w:cs="Arial"/>
              </w:rPr>
              <w:t>3.334</w:t>
            </w:r>
          </w:p>
        </w:tc>
        <w:tc>
          <w:tcPr>
            <w:tcW w:w="1284" w:type="dxa"/>
            <w:vAlign w:val="center"/>
          </w:tcPr>
          <w:p w14:paraId="1C6DBD64" w14:textId="77777777" w:rsidR="009F2DD7" w:rsidRPr="00CD1DFD" w:rsidRDefault="009F2DD7" w:rsidP="00AC67F1">
            <w:pPr>
              <w:pStyle w:val="NoSpacing"/>
              <w:spacing w:line="276" w:lineRule="auto"/>
              <w:jc w:val="right"/>
              <w:rPr>
                <w:rFonts w:cs="Arial"/>
              </w:rPr>
            </w:pPr>
            <w:r w:rsidRPr="00CD1DFD">
              <w:rPr>
                <w:rFonts w:cs="Arial"/>
              </w:rPr>
              <w:t>3.334</w:t>
            </w:r>
          </w:p>
        </w:tc>
      </w:tr>
      <w:tr w:rsidR="009F2DD7" w:rsidRPr="00CD1DFD" w14:paraId="681DA1BA" w14:textId="77777777" w:rsidTr="00AC67F1">
        <w:trPr>
          <w:trHeight w:val="552"/>
          <w:jc w:val="center"/>
        </w:trPr>
        <w:tc>
          <w:tcPr>
            <w:tcW w:w="3114" w:type="dxa"/>
            <w:vAlign w:val="center"/>
          </w:tcPr>
          <w:p w14:paraId="6E58F54B" w14:textId="77777777" w:rsidR="009F2DD7" w:rsidRPr="00CD1DFD" w:rsidRDefault="009F2DD7" w:rsidP="00AC67F1">
            <w:pPr>
              <w:pStyle w:val="NoSpacing"/>
              <w:spacing w:line="276" w:lineRule="auto"/>
              <w:rPr>
                <w:rFonts w:cs="Arial"/>
              </w:rPr>
            </w:pPr>
            <w:r w:rsidRPr="00CD1DFD">
              <w:rPr>
                <w:rFonts w:cs="Arial"/>
              </w:rPr>
              <w:t>Better Care Fund</w:t>
            </w:r>
          </w:p>
        </w:tc>
        <w:tc>
          <w:tcPr>
            <w:tcW w:w="1284" w:type="dxa"/>
            <w:vAlign w:val="center"/>
          </w:tcPr>
          <w:p w14:paraId="65C72951" w14:textId="77777777" w:rsidR="009F2DD7" w:rsidRPr="00796ECB" w:rsidRDefault="009F2DD7" w:rsidP="00AC67F1">
            <w:pPr>
              <w:pStyle w:val="NoSpacing"/>
              <w:spacing w:line="276" w:lineRule="auto"/>
              <w:jc w:val="right"/>
              <w:rPr>
                <w:rFonts w:cs="Arial"/>
              </w:rPr>
            </w:pPr>
            <w:r w:rsidRPr="00796ECB">
              <w:rPr>
                <w:rFonts w:cs="Arial"/>
              </w:rPr>
              <w:t>3.210</w:t>
            </w:r>
          </w:p>
        </w:tc>
        <w:tc>
          <w:tcPr>
            <w:tcW w:w="1284" w:type="dxa"/>
            <w:vAlign w:val="center"/>
          </w:tcPr>
          <w:p w14:paraId="2488F7FF" w14:textId="77777777" w:rsidR="009F2DD7" w:rsidRPr="00CD1DFD" w:rsidRDefault="009F2DD7" w:rsidP="00AC67F1">
            <w:pPr>
              <w:pStyle w:val="NoSpacing"/>
              <w:spacing w:line="276" w:lineRule="auto"/>
              <w:jc w:val="right"/>
              <w:rPr>
                <w:rFonts w:cs="Arial"/>
              </w:rPr>
            </w:pPr>
            <w:r w:rsidRPr="00CD1DFD">
              <w:rPr>
                <w:rFonts w:cs="Arial"/>
              </w:rPr>
              <w:t>22.656</w:t>
            </w:r>
          </w:p>
        </w:tc>
        <w:tc>
          <w:tcPr>
            <w:tcW w:w="1284" w:type="dxa"/>
            <w:vAlign w:val="center"/>
          </w:tcPr>
          <w:p w14:paraId="359EB6DF" w14:textId="77777777" w:rsidR="009F2DD7" w:rsidRPr="00796ECB" w:rsidRDefault="009F2DD7" w:rsidP="00AC67F1">
            <w:pPr>
              <w:pStyle w:val="NoSpacing"/>
              <w:spacing w:line="276" w:lineRule="auto"/>
              <w:jc w:val="right"/>
              <w:rPr>
                <w:rFonts w:cs="Arial"/>
              </w:rPr>
            </w:pPr>
            <w:r w:rsidRPr="00796ECB">
              <w:rPr>
                <w:rFonts w:cs="Arial"/>
              </w:rPr>
              <w:t>40.014</w:t>
            </w:r>
          </w:p>
        </w:tc>
        <w:tc>
          <w:tcPr>
            <w:tcW w:w="1284" w:type="dxa"/>
            <w:vAlign w:val="center"/>
          </w:tcPr>
          <w:p w14:paraId="24DA5C8F" w14:textId="77777777" w:rsidR="009F2DD7" w:rsidRPr="00CD1DFD" w:rsidRDefault="009F2DD7" w:rsidP="00AC67F1">
            <w:pPr>
              <w:pStyle w:val="NoSpacing"/>
              <w:spacing w:line="276" w:lineRule="auto"/>
              <w:jc w:val="right"/>
              <w:rPr>
                <w:rFonts w:cs="Arial"/>
              </w:rPr>
            </w:pPr>
            <w:r w:rsidRPr="00CD1DFD">
              <w:rPr>
                <w:rFonts w:cs="Arial"/>
              </w:rPr>
              <w:t>40.014</w:t>
            </w:r>
          </w:p>
        </w:tc>
      </w:tr>
      <w:tr w:rsidR="009F2DD7" w:rsidRPr="00CD1DFD" w14:paraId="7A36D1BF" w14:textId="77777777" w:rsidTr="00AC67F1">
        <w:trPr>
          <w:trHeight w:val="552"/>
          <w:jc w:val="center"/>
        </w:trPr>
        <w:tc>
          <w:tcPr>
            <w:tcW w:w="3114" w:type="dxa"/>
            <w:vAlign w:val="center"/>
          </w:tcPr>
          <w:p w14:paraId="53D25D39" w14:textId="77777777" w:rsidR="009F2DD7" w:rsidRPr="00CD1DFD" w:rsidRDefault="009F2DD7" w:rsidP="00AC67F1">
            <w:pPr>
              <w:pStyle w:val="NoSpacing"/>
              <w:spacing w:line="276" w:lineRule="auto"/>
              <w:rPr>
                <w:rFonts w:cs="Arial"/>
              </w:rPr>
            </w:pPr>
            <w:r w:rsidRPr="00CD1DFD">
              <w:rPr>
                <w:rFonts w:cs="Arial"/>
              </w:rPr>
              <w:t>Transitional Grant</w:t>
            </w:r>
          </w:p>
        </w:tc>
        <w:tc>
          <w:tcPr>
            <w:tcW w:w="1284" w:type="dxa"/>
            <w:vAlign w:val="center"/>
          </w:tcPr>
          <w:p w14:paraId="484F28D3" w14:textId="77777777" w:rsidR="009F2DD7" w:rsidRPr="00796ECB" w:rsidRDefault="009F2DD7" w:rsidP="00AC67F1">
            <w:pPr>
              <w:pStyle w:val="NoSpacing"/>
              <w:spacing w:line="276" w:lineRule="auto"/>
              <w:jc w:val="right"/>
              <w:rPr>
                <w:rFonts w:cs="Arial"/>
              </w:rPr>
            </w:pPr>
            <w:r w:rsidRPr="00796ECB">
              <w:rPr>
                <w:rFonts w:cs="Arial"/>
              </w:rPr>
              <w:t>1.154</w:t>
            </w:r>
          </w:p>
        </w:tc>
        <w:tc>
          <w:tcPr>
            <w:tcW w:w="1284" w:type="dxa"/>
            <w:vAlign w:val="center"/>
          </w:tcPr>
          <w:p w14:paraId="1FDE0DAE" w14:textId="2D944E2C" w:rsidR="009F2DD7" w:rsidRPr="00CD1DFD" w:rsidRDefault="004C00D2" w:rsidP="00AC67F1">
            <w:pPr>
              <w:pStyle w:val="NoSpacing"/>
              <w:spacing w:line="276" w:lineRule="auto"/>
              <w:jc w:val="right"/>
              <w:rPr>
                <w:rFonts w:cs="Arial"/>
              </w:rPr>
            </w:pPr>
            <w:r>
              <w:rPr>
                <w:rFonts w:cs="Arial"/>
              </w:rPr>
              <w:t>0.000</w:t>
            </w:r>
          </w:p>
        </w:tc>
        <w:tc>
          <w:tcPr>
            <w:tcW w:w="1284" w:type="dxa"/>
            <w:vAlign w:val="center"/>
          </w:tcPr>
          <w:p w14:paraId="24BF9CB0" w14:textId="2D87B491" w:rsidR="009F2DD7" w:rsidRPr="00796ECB" w:rsidRDefault="004C00D2" w:rsidP="00AC67F1">
            <w:pPr>
              <w:pStyle w:val="NoSpacing"/>
              <w:spacing w:line="276" w:lineRule="auto"/>
              <w:jc w:val="right"/>
              <w:rPr>
                <w:rFonts w:cs="Arial"/>
              </w:rPr>
            </w:pPr>
            <w:r>
              <w:rPr>
                <w:rFonts w:cs="Arial"/>
              </w:rPr>
              <w:t>0.000</w:t>
            </w:r>
          </w:p>
        </w:tc>
        <w:tc>
          <w:tcPr>
            <w:tcW w:w="1284" w:type="dxa"/>
            <w:vAlign w:val="center"/>
          </w:tcPr>
          <w:p w14:paraId="65EAC28F" w14:textId="4A26FC90" w:rsidR="009F2DD7" w:rsidRPr="00CD1DFD" w:rsidRDefault="004C00D2" w:rsidP="00AC67F1">
            <w:pPr>
              <w:pStyle w:val="NoSpacing"/>
              <w:spacing w:line="276" w:lineRule="auto"/>
              <w:jc w:val="right"/>
              <w:rPr>
                <w:rFonts w:cs="Arial"/>
              </w:rPr>
            </w:pPr>
            <w:r>
              <w:rPr>
                <w:rFonts w:cs="Arial"/>
              </w:rPr>
              <w:t>0.000</w:t>
            </w:r>
          </w:p>
        </w:tc>
      </w:tr>
      <w:tr w:rsidR="009F2DD7" w:rsidRPr="00CD1DFD" w14:paraId="2FA1945B" w14:textId="77777777" w:rsidTr="00AC67F1">
        <w:trPr>
          <w:trHeight w:val="552"/>
          <w:jc w:val="center"/>
        </w:trPr>
        <w:tc>
          <w:tcPr>
            <w:tcW w:w="3114" w:type="dxa"/>
            <w:vAlign w:val="center"/>
          </w:tcPr>
          <w:p w14:paraId="24197883" w14:textId="77777777" w:rsidR="009F2DD7" w:rsidRPr="00CD1DFD" w:rsidRDefault="009F2DD7" w:rsidP="00AC67F1">
            <w:pPr>
              <w:pStyle w:val="NoSpacing"/>
              <w:spacing w:line="276" w:lineRule="auto"/>
              <w:rPr>
                <w:rFonts w:cs="Arial"/>
              </w:rPr>
            </w:pPr>
            <w:r w:rsidRPr="00CD1DFD">
              <w:rPr>
                <w:rFonts w:cs="Arial"/>
              </w:rPr>
              <w:t>Capital receipts</w:t>
            </w:r>
          </w:p>
        </w:tc>
        <w:tc>
          <w:tcPr>
            <w:tcW w:w="1284" w:type="dxa"/>
            <w:vAlign w:val="center"/>
          </w:tcPr>
          <w:p w14:paraId="0030F144" w14:textId="77777777" w:rsidR="009F2DD7" w:rsidRPr="00796ECB" w:rsidRDefault="009F2DD7" w:rsidP="00AC67F1">
            <w:pPr>
              <w:pStyle w:val="NoSpacing"/>
              <w:spacing w:line="276" w:lineRule="auto"/>
              <w:jc w:val="right"/>
              <w:rPr>
                <w:rFonts w:cs="Arial"/>
              </w:rPr>
            </w:pPr>
            <w:r w:rsidRPr="00796ECB">
              <w:rPr>
                <w:rFonts w:cs="Arial"/>
              </w:rPr>
              <w:t>12.500</w:t>
            </w:r>
          </w:p>
        </w:tc>
        <w:tc>
          <w:tcPr>
            <w:tcW w:w="1284" w:type="dxa"/>
            <w:vAlign w:val="center"/>
          </w:tcPr>
          <w:p w14:paraId="70A46F9A" w14:textId="77777777" w:rsidR="009F2DD7" w:rsidRPr="00CD1DFD" w:rsidRDefault="009F2DD7" w:rsidP="00AC67F1">
            <w:pPr>
              <w:pStyle w:val="NoSpacing"/>
              <w:spacing w:line="276" w:lineRule="auto"/>
              <w:jc w:val="right"/>
              <w:rPr>
                <w:rFonts w:cs="Arial"/>
              </w:rPr>
            </w:pPr>
            <w:r w:rsidRPr="00CD1DFD">
              <w:rPr>
                <w:rFonts w:cs="Arial"/>
              </w:rPr>
              <w:t>5.000</w:t>
            </w:r>
          </w:p>
        </w:tc>
        <w:tc>
          <w:tcPr>
            <w:tcW w:w="1284" w:type="dxa"/>
            <w:vAlign w:val="center"/>
          </w:tcPr>
          <w:p w14:paraId="6F5A6619" w14:textId="77777777" w:rsidR="009F2DD7" w:rsidRPr="00796ECB" w:rsidRDefault="009F2DD7" w:rsidP="00AC67F1">
            <w:pPr>
              <w:pStyle w:val="NoSpacing"/>
              <w:spacing w:line="276" w:lineRule="auto"/>
              <w:jc w:val="right"/>
              <w:rPr>
                <w:rFonts w:cs="Arial"/>
              </w:rPr>
            </w:pPr>
            <w:r w:rsidRPr="00796ECB">
              <w:rPr>
                <w:rFonts w:cs="Arial"/>
              </w:rPr>
              <w:t>0.000</w:t>
            </w:r>
          </w:p>
        </w:tc>
        <w:tc>
          <w:tcPr>
            <w:tcW w:w="1284" w:type="dxa"/>
            <w:vAlign w:val="center"/>
          </w:tcPr>
          <w:p w14:paraId="7A0BBEBF" w14:textId="77777777" w:rsidR="009F2DD7" w:rsidRPr="00CD1DFD" w:rsidRDefault="009F2DD7" w:rsidP="00AC67F1">
            <w:pPr>
              <w:pStyle w:val="NoSpacing"/>
              <w:spacing w:line="276" w:lineRule="auto"/>
              <w:jc w:val="right"/>
              <w:rPr>
                <w:rFonts w:cs="Arial"/>
              </w:rPr>
            </w:pPr>
            <w:r w:rsidRPr="00CD1DFD">
              <w:rPr>
                <w:rFonts w:cs="Arial"/>
              </w:rPr>
              <w:t>0.000</w:t>
            </w:r>
          </w:p>
        </w:tc>
      </w:tr>
      <w:tr w:rsidR="009F2DD7" w:rsidRPr="00CD1DFD" w14:paraId="26A1ED44" w14:textId="77777777" w:rsidTr="00AC67F1">
        <w:trPr>
          <w:trHeight w:val="552"/>
          <w:jc w:val="center"/>
        </w:trPr>
        <w:tc>
          <w:tcPr>
            <w:tcW w:w="3114" w:type="dxa"/>
            <w:vAlign w:val="center"/>
          </w:tcPr>
          <w:p w14:paraId="64C54158" w14:textId="77777777" w:rsidR="009F2DD7" w:rsidRPr="00CD1DFD" w:rsidRDefault="009F2DD7" w:rsidP="00AC67F1">
            <w:pPr>
              <w:pStyle w:val="NoSpacing"/>
              <w:spacing w:line="276" w:lineRule="auto"/>
              <w:jc w:val="both"/>
              <w:rPr>
                <w:rFonts w:cs="Arial"/>
                <w:b/>
              </w:rPr>
            </w:pPr>
            <w:r w:rsidRPr="00CD1DFD">
              <w:rPr>
                <w:rFonts w:cs="Arial"/>
                <w:b/>
              </w:rPr>
              <w:t>Total</w:t>
            </w:r>
          </w:p>
        </w:tc>
        <w:tc>
          <w:tcPr>
            <w:tcW w:w="1284" w:type="dxa"/>
            <w:vAlign w:val="center"/>
          </w:tcPr>
          <w:p w14:paraId="7E68C872" w14:textId="77777777" w:rsidR="009F2DD7" w:rsidRPr="00796ECB" w:rsidRDefault="009F2DD7" w:rsidP="00AC67F1">
            <w:pPr>
              <w:spacing w:line="276" w:lineRule="auto"/>
              <w:jc w:val="right"/>
              <w:rPr>
                <w:rFonts w:cs="Arial"/>
                <w:b/>
                <w:lang w:eastAsia="en-GB"/>
              </w:rPr>
            </w:pPr>
            <w:r w:rsidRPr="00796ECB">
              <w:rPr>
                <w:rFonts w:cs="Arial"/>
                <w:b/>
                <w:lang w:eastAsia="en-GB"/>
              </w:rPr>
              <w:t>695.502</w:t>
            </w:r>
          </w:p>
        </w:tc>
        <w:tc>
          <w:tcPr>
            <w:tcW w:w="1284" w:type="dxa"/>
            <w:vAlign w:val="center"/>
          </w:tcPr>
          <w:p w14:paraId="14DECACF" w14:textId="77777777" w:rsidR="009F2DD7" w:rsidRPr="00CD1DFD" w:rsidRDefault="009F2DD7" w:rsidP="00AC67F1">
            <w:pPr>
              <w:spacing w:line="276" w:lineRule="auto"/>
              <w:jc w:val="right"/>
              <w:rPr>
                <w:rFonts w:cs="Arial"/>
                <w:b/>
                <w:lang w:eastAsia="en-GB"/>
              </w:rPr>
            </w:pPr>
            <w:r w:rsidRPr="00CD1DFD">
              <w:rPr>
                <w:rFonts w:cs="Arial"/>
                <w:b/>
                <w:lang w:eastAsia="en-GB"/>
              </w:rPr>
              <w:t>686.814</w:t>
            </w:r>
          </w:p>
        </w:tc>
        <w:tc>
          <w:tcPr>
            <w:tcW w:w="1284" w:type="dxa"/>
            <w:vAlign w:val="center"/>
          </w:tcPr>
          <w:p w14:paraId="42171162" w14:textId="77777777" w:rsidR="009F2DD7" w:rsidRPr="00796ECB" w:rsidRDefault="009F2DD7" w:rsidP="00AC67F1">
            <w:pPr>
              <w:spacing w:line="276" w:lineRule="auto"/>
              <w:jc w:val="right"/>
              <w:rPr>
                <w:rFonts w:cs="Arial"/>
                <w:b/>
                <w:lang w:eastAsia="en-GB"/>
              </w:rPr>
            </w:pPr>
            <w:r w:rsidRPr="00796ECB">
              <w:rPr>
                <w:rFonts w:cs="Arial"/>
                <w:b/>
                <w:lang w:eastAsia="en-GB"/>
              </w:rPr>
              <w:t>680.937</w:t>
            </w:r>
          </w:p>
        </w:tc>
        <w:tc>
          <w:tcPr>
            <w:tcW w:w="1284" w:type="dxa"/>
            <w:vAlign w:val="center"/>
          </w:tcPr>
          <w:p w14:paraId="0A02C08F" w14:textId="77777777" w:rsidR="009F2DD7" w:rsidRPr="00CD1DFD" w:rsidRDefault="009F2DD7" w:rsidP="00AC67F1">
            <w:pPr>
              <w:spacing w:line="276" w:lineRule="auto"/>
              <w:jc w:val="right"/>
              <w:rPr>
                <w:rFonts w:cs="Arial"/>
                <w:b/>
                <w:lang w:eastAsia="en-GB"/>
              </w:rPr>
            </w:pPr>
            <w:r w:rsidRPr="00CD1DFD">
              <w:rPr>
                <w:rFonts w:cs="Arial"/>
                <w:b/>
                <w:lang w:eastAsia="en-GB"/>
              </w:rPr>
              <w:t>681.082</w:t>
            </w:r>
          </w:p>
        </w:tc>
      </w:tr>
    </w:tbl>
    <w:p w14:paraId="2D180FD6" w14:textId="77777777" w:rsidR="00735E90" w:rsidRPr="00666242" w:rsidRDefault="00735E90" w:rsidP="00735E90">
      <w:pPr>
        <w:tabs>
          <w:tab w:val="left" w:pos="567"/>
          <w:tab w:val="left" w:pos="1134"/>
        </w:tabs>
        <w:spacing w:after="0"/>
        <w:rPr>
          <w:rFonts w:cs="Arial"/>
          <w:b/>
          <w:highlight w:val="yellow"/>
        </w:rPr>
      </w:pPr>
    </w:p>
    <w:p w14:paraId="0F245F2F" w14:textId="77777777" w:rsidR="009F2DD7" w:rsidRDefault="009F2DD7" w:rsidP="009F2DD7">
      <w:pPr>
        <w:rPr>
          <w:rFonts w:cs="Arial"/>
        </w:rPr>
      </w:pPr>
      <w:r w:rsidRPr="00CD1DFD">
        <w:rPr>
          <w:rFonts w:cs="Arial"/>
        </w:rPr>
        <w:t xml:space="preserve">These were based on a number of assumptions which </w:t>
      </w:r>
      <w:r>
        <w:rPr>
          <w:rFonts w:cs="Arial"/>
        </w:rPr>
        <w:t xml:space="preserve">have revisited as part of this report. </w:t>
      </w:r>
    </w:p>
    <w:p w14:paraId="01644AC5" w14:textId="77777777" w:rsidR="00277907" w:rsidRDefault="00277907" w:rsidP="00735E90">
      <w:pPr>
        <w:tabs>
          <w:tab w:val="left" w:pos="567"/>
          <w:tab w:val="left" w:pos="1134"/>
        </w:tabs>
        <w:spacing w:after="0"/>
        <w:rPr>
          <w:rFonts w:cs="Arial"/>
        </w:rPr>
      </w:pPr>
    </w:p>
    <w:p w14:paraId="0A13D68C" w14:textId="77777777" w:rsidR="004C00D2" w:rsidRDefault="004C00D2" w:rsidP="00735E90">
      <w:pPr>
        <w:tabs>
          <w:tab w:val="left" w:pos="567"/>
          <w:tab w:val="left" w:pos="1134"/>
        </w:tabs>
        <w:spacing w:after="0"/>
        <w:rPr>
          <w:rFonts w:cs="Arial"/>
        </w:rPr>
      </w:pPr>
    </w:p>
    <w:p w14:paraId="361A64A8" w14:textId="77777777" w:rsidR="004C00D2" w:rsidRPr="00666242" w:rsidRDefault="004C00D2" w:rsidP="00735E90">
      <w:pPr>
        <w:tabs>
          <w:tab w:val="left" w:pos="567"/>
          <w:tab w:val="left" w:pos="1134"/>
        </w:tabs>
        <w:spacing w:after="0"/>
        <w:rPr>
          <w:rFonts w:cs="Arial"/>
          <w:highlight w:val="yellow"/>
        </w:rPr>
      </w:pPr>
    </w:p>
    <w:p w14:paraId="6A5B3559" w14:textId="794D0789" w:rsidR="00A32D45" w:rsidRPr="00F10592" w:rsidRDefault="00A32D45" w:rsidP="00A32D45">
      <w:pPr>
        <w:rPr>
          <w:rFonts w:cs="Arial"/>
          <w:b/>
        </w:rPr>
      </w:pPr>
      <w:r w:rsidRPr="00F10592">
        <w:rPr>
          <w:rFonts w:cs="Arial"/>
          <w:b/>
        </w:rPr>
        <w:lastRenderedPageBreak/>
        <w:t>2.1 Settlement Funding Assessment (SFA)</w:t>
      </w:r>
    </w:p>
    <w:p w14:paraId="481A986F" w14:textId="62868F13" w:rsidR="00A32D45" w:rsidRDefault="00A32D45" w:rsidP="00A32D45">
      <w:pPr>
        <w:rPr>
          <w:rFonts w:cs="Arial"/>
        </w:rPr>
      </w:pPr>
      <w:r w:rsidRPr="00CD1DFD">
        <w:rPr>
          <w:rFonts w:cs="Arial"/>
        </w:rPr>
        <w:t>The Secretary of State announces a Settlement Funding Assessment (SFA) for each authority. This is an indication of the level of resources required by an authority which is to be met from business rates and RSG. In 2016/17 the Secretary of State announced d</w:t>
      </w:r>
      <w:r w:rsidR="005C03EB">
        <w:rPr>
          <w:rFonts w:cs="Arial"/>
        </w:rPr>
        <w:t>etails of proposed support for the next 3</w:t>
      </w:r>
      <w:r w:rsidRPr="00CD1DFD">
        <w:rPr>
          <w:rFonts w:cs="Arial"/>
        </w:rPr>
        <w:t xml:space="preserve"> years, i.e. up to 2019/20 and the MTFS has been based on this Settlement.  These were:</w:t>
      </w:r>
    </w:p>
    <w:p w14:paraId="522BFDCA" w14:textId="77777777" w:rsidR="00A32D45" w:rsidRPr="00CD1DFD" w:rsidRDefault="00A32D45" w:rsidP="00A32D45">
      <w:pPr>
        <w:rPr>
          <w:rFonts w:cs="Arial"/>
        </w:rPr>
      </w:pPr>
    </w:p>
    <w:tbl>
      <w:tblPr>
        <w:tblStyle w:val="TableGrid"/>
        <w:tblW w:w="7581" w:type="dxa"/>
        <w:jc w:val="center"/>
        <w:tblLook w:val="04A0" w:firstRow="1" w:lastRow="0" w:firstColumn="1" w:lastColumn="0" w:noHBand="0" w:noVBand="1"/>
      </w:tblPr>
      <w:tblGrid>
        <w:gridCol w:w="3828"/>
        <w:gridCol w:w="1148"/>
        <w:gridCol w:w="1147"/>
        <w:gridCol w:w="1458"/>
      </w:tblGrid>
      <w:tr w:rsidR="005C03EB" w:rsidRPr="00CD1DFD" w14:paraId="4B79F9DC" w14:textId="77777777" w:rsidTr="005C03EB">
        <w:trPr>
          <w:trHeight w:val="744"/>
          <w:jc w:val="center"/>
        </w:trPr>
        <w:tc>
          <w:tcPr>
            <w:tcW w:w="3828" w:type="dxa"/>
            <w:tcBorders>
              <w:bottom w:val="nil"/>
            </w:tcBorders>
            <w:shd w:val="clear" w:color="auto" w:fill="BFBFBF" w:themeFill="background1" w:themeFillShade="BF"/>
            <w:vAlign w:val="center"/>
          </w:tcPr>
          <w:p w14:paraId="7CB40658" w14:textId="77777777" w:rsidR="005C03EB" w:rsidRPr="00CD1DFD" w:rsidRDefault="005C03EB" w:rsidP="00AC67F1">
            <w:pPr>
              <w:jc w:val="center"/>
              <w:rPr>
                <w:rFonts w:cs="Arial"/>
                <w:b/>
              </w:rPr>
            </w:pPr>
          </w:p>
          <w:p w14:paraId="2164679D" w14:textId="77777777" w:rsidR="005C03EB" w:rsidRPr="00CD1DFD" w:rsidRDefault="005C03EB" w:rsidP="00AC67F1">
            <w:pPr>
              <w:jc w:val="center"/>
              <w:rPr>
                <w:rFonts w:cs="Arial"/>
                <w:b/>
              </w:rPr>
            </w:pPr>
          </w:p>
        </w:tc>
        <w:tc>
          <w:tcPr>
            <w:tcW w:w="1148" w:type="dxa"/>
            <w:tcBorders>
              <w:bottom w:val="nil"/>
            </w:tcBorders>
            <w:shd w:val="clear" w:color="auto" w:fill="BFBFBF" w:themeFill="background1" w:themeFillShade="BF"/>
            <w:vAlign w:val="center"/>
          </w:tcPr>
          <w:p w14:paraId="22CF55E7" w14:textId="77777777" w:rsidR="005C03EB" w:rsidRPr="00CD1DFD" w:rsidRDefault="005C03EB" w:rsidP="00AC67F1">
            <w:pPr>
              <w:jc w:val="center"/>
              <w:rPr>
                <w:rFonts w:cs="Arial"/>
                <w:b/>
              </w:rPr>
            </w:pPr>
            <w:r w:rsidRPr="00CD1DFD">
              <w:rPr>
                <w:rFonts w:cs="Arial"/>
                <w:b/>
              </w:rPr>
              <w:t>2017/18</w:t>
            </w:r>
          </w:p>
          <w:p w14:paraId="071F3552" w14:textId="77777777" w:rsidR="005C03EB" w:rsidRPr="00CD1DFD" w:rsidRDefault="005C03EB" w:rsidP="00AC67F1">
            <w:pPr>
              <w:jc w:val="center"/>
              <w:rPr>
                <w:rFonts w:cs="Arial"/>
                <w:b/>
              </w:rPr>
            </w:pPr>
            <w:r w:rsidRPr="00CD1DFD">
              <w:rPr>
                <w:rFonts w:cs="Arial"/>
                <w:b/>
              </w:rPr>
              <w:t>£m</w:t>
            </w:r>
          </w:p>
        </w:tc>
        <w:tc>
          <w:tcPr>
            <w:tcW w:w="1147" w:type="dxa"/>
            <w:tcBorders>
              <w:bottom w:val="nil"/>
            </w:tcBorders>
            <w:shd w:val="clear" w:color="auto" w:fill="BFBFBF" w:themeFill="background1" w:themeFillShade="BF"/>
            <w:vAlign w:val="center"/>
          </w:tcPr>
          <w:p w14:paraId="534D3952" w14:textId="77777777" w:rsidR="005C03EB" w:rsidRPr="00CD1DFD" w:rsidRDefault="005C03EB" w:rsidP="00AC67F1">
            <w:pPr>
              <w:jc w:val="center"/>
              <w:rPr>
                <w:rFonts w:cs="Arial"/>
                <w:b/>
              </w:rPr>
            </w:pPr>
            <w:r w:rsidRPr="00CD1DFD">
              <w:rPr>
                <w:rFonts w:cs="Arial"/>
                <w:b/>
              </w:rPr>
              <w:t>2018/19</w:t>
            </w:r>
          </w:p>
          <w:p w14:paraId="549CD0E9" w14:textId="77777777" w:rsidR="005C03EB" w:rsidRPr="00CD1DFD" w:rsidRDefault="005C03EB" w:rsidP="00AC67F1">
            <w:pPr>
              <w:jc w:val="center"/>
              <w:rPr>
                <w:rFonts w:cs="Arial"/>
                <w:b/>
              </w:rPr>
            </w:pPr>
            <w:r w:rsidRPr="00CD1DFD">
              <w:rPr>
                <w:rFonts w:cs="Arial"/>
                <w:b/>
              </w:rPr>
              <w:t>£m</w:t>
            </w:r>
          </w:p>
        </w:tc>
        <w:tc>
          <w:tcPr>
            <w:tcW w:w="1458" w:type="dxa"/>
            <w:tcBorders>
              <w:bottom w:val="nil"/>
            </w:tcBorders>
            <w:shd w:val="clear" w:color="auto" w:fill="BFBFBF" w:themeFill="background1" w:themeFillShade="BF"/>
            <w:vAlign w:val="center"/>
          </w:tcPr>
          <w:p w14:paraId="1F07577C" w14:textId="77777777" w:rsidR="005C03EB" w:rsidRPr="00CD1DFD" w:rsidRDefault="005C03EB" w:rsidP="00AC67F1">
            <w:pPr>
              <w:jc w:val="center"/>
              <w:rPr>
                <w:rFonts w:cs="Arial"/>
                <w:b/>
              </w:rPr>
            </w:pPr>
            <w:r w:rsidRPr="00CD1DFD">
              <w:rPr>
                <w:rFonts w:cs="Arial"/>
                <w:b/>
              </w:rPr>
              <w:t>2019/20</w:t>
            </w:r>
          </w:p>
          <w:p w14:paraId="77B3E58B" w14:textId="77777777" w:rsidR="005C03EB" w:rsidRPr="00CD1DFD" w:rsidRDefault="005C03EB" w:rsidP="00AC67F1">
            <w:pPr>
              <w:jc w:val="center"/>
              <w:rPr>
                <w:rFonts w:cs="Arial"/>
                <w:b/>
              </w:rPr>
            </w:pPr>
            <w:r w:rsidRPr="00CD1DFD">
              <w:rPr>
                <w:rFonts w:cs="Arial"/>
                <w:b/>
              </w:rPr>
              <w:t>£m</w:t>
            </w:r>
          </w:p>
        </w:tc>
      </w:tr>
      <w:tr w:rsidR="005C03EB" w:rsidRPr="00CD1DFD" w14:paraId="1AF5B13B" w14:textId="77777777" w:rsidTr="005C03EB">
        <w:trPr>
          <w:trHeight w:val="779"/>
          <w:jc w:val="center"/>
        </w:trPr>
        <w:tc>
          <w:tcPr>
            <w:tcW w:w="3828" w:type="dxa"/>
          </w:tcPr>
          <w:p w14:paraId="21734A36" w14:textId="77777777" w:rsidR="005C03EB" w:rsidRPr="001E485A" w:rsidRDefault="005C03EB" w:rsidP="001E485A">
            <w:pPr>
              <w:jc w:val="left"/>
              <w:rPr>
                <w:rFonts w:cs="Arial"/>
              </w:rPr>
            </w:pPr>
            <w:r w:rsidRPr="001E485A">
              <w:rPr>
                <w:rFonts w:cs="Arial"/>
              </w:rPr>
              <w:t>Settlement Funding Assessment (SFA)</w:t>
            </w:r>
          </w:p>
        </w:tc>
        <w:tc>
          <w:tcPr>
            <w:tcW w:w="1148" w:type="dxa"/>
            <w:vAlign w:val="center"/>
          </w:tcPr>
          <w:p w14:paraId="1FB919F4" w14:textId="77777777" w:rsidR="005C03EB" w:rsidRPr="00CD1DFD" w:rsidRDefault="005C03EB" w:rsidP="00AC67F1">
            <w:pPr>
              <w:jc w:val="right"/>
              <w:rPr>
                <w:rFonts w:cs="Arial"/>
              </w:rPr>
            </w:pPr>
            <w:r w:rsidRPr="00CD1DFD">
              <w:rPr>
                <w:rFonts w:cs="Arial"/>
              </w:rPr>
              <w:t>258.326</w:t>
            </w:r>
          </w:p>
        </w:tc>
        <w:tc>
          <w:tcPr>
            <w:tcW w:w="1147" w:type="dxa"/>
            <w:vAlign w:val="center"/>
          </w:tcPr>
          <w:p w14:paraId="1B255EBD" w14:textId="77777777" w:rsidR="005C03EB" w:rsidRPr="00CD1DFD" w:rsidRDefault="005C03EB" w:rsidP="00AC67F1">
            <w:pPr>
              <w:jc w:val="right"/>
              <w:rPr>
                <w:rFonts w:cs="Arial"/>
              </w:rPr>
            </w:pPr>
            <w:r w:rsidRPr="00CD1DFD">
              <w:rPr>
                <w:rFonts w:cs="Arial"/>
              </w:rPr>
              <w:t>239.014</w:t>
            </w:r>
          </w:p>
        </w:tc>
        <w:tc>
          <w:tcPr>
            <w:tcW w:w="1458" w:type="dxa"/>
            <w:vAlign w:val="center"/>
          </w:tcPr>
          <w:p w14:paraId="03B03BE0" w14:textId="77777777" w:rsidR="005C03EB" w:rsidRPr="00CD1DFD" w:rsidRDefault="005C03EB" w:rsidP="00AC67F1">
            <w:pPr>
              <w:jc w:val="right"/>
              <w:rPr>
                <w:rFonts w:cs="Arial"/>
              </w:rPr>
            </w:pPr>
            <w:r w:rsidRPr="00CD1DFD">
              <w:rPr>
                <w:rFonts w:cs="Arial"/>
              </w:rPr>
              <w:t>220.747</w:t>
            </w:r>
          </w:p>
        </w:tc>
      </w:tr>
      <w:tr w:rsidR="005C03EB" w:rsidRPr="00CD1DFD" w14:paraId="445E7334" w14:textId="77777777" w:rsidTr="005C03EB">
        <w:trPr>
          <w:trHeight w:val="547"/>
          <w:jc w:val="center"/>
        </w:trPr>
        <w:tc>
          <w:tcPr>
            <w:tcW w:w="3828" w:type="dxa"/>
            <w:shd w:val="clear" w:color="auto" w:fill="BFBFBF" w:themeFill="background1" w:themeFillShade="BF"/>
            <w:vAlign w:val="center"/>
          </w:tcPr>
          <w:p w14:paraId="5E9CE864" w14:textId="77777777" w:rsidR="005C03EB" w:rsidRPr="00CD1DFD" w:rsidRDefault="005C03EB" w:rsidP="00AC67F1">
            <w:pPr>
              <w:rPr>
                <w:rFonts w:cs="Arial"/>
                <w:b/>
              </w:rPr>
            </w:pPr>
            <w:r w:rsidRPr="00CD1DFD">
              <w:rPr>
                <w:rFonts w:cs="Arial"/>
                <w:b/>
              </w:rPr>
              <w:t>Funded by:</w:t>
            </w:r>
          </w:p>
        </w:tc>
        <w:tc>
          <w:tcPr>
            <w:tcW w:w="1148" w:type="dxa"/>
            <w:shd w:val="clear" w:color="auto" w:fill="BFBFBF" w:themeFill="background1" w:themeFillShade="BF"/>
            <w:vAlign w:val="center"/>
          </w:tcPr>
          <w:p w14:paraId="52BB17C3" w14:textId="77777777" w:rsidR="005C03EB" w:rsidRPr="00CD1DFD" w:rsidRDefault="005C03EB" w:rsidP="00AC67F1">
            <w:pPr>
              <w:jc w:val="right"/>
              <w:rPr>
                <w:rFonts w:cs="Arial"/>
              </w:rPr>
            </w:pPr>
          </w:p>
        </w:tc>
        <w:tc>
          <w:tcPr>
            <w:tcW w:w="1147" w:type="dxa"/>
            <w:shd w:val="clear" w:color="auto" w:fill="BFBFBF" w:themeFill="background1" w:themeFillShade="BF"/>
            <w:vAlign w:val="center"/>
          </w:tcPr>
          <w:p w14:paraId="6E8B67C2" w14:textId="77777777" w:rsidR="005C03EB" w:rsidRPr="00CD1DFD" w:rsidRDefault="005C03EB" w:rsidP="00AC67F1">
            <w:pPr>
              <w:jc w:val="right"/>
              <w:rPr>
                <w:rFonts w:cs="Arial"/>
              </w:rPr>
            </w:pPr>
          </w:p>
        </w:tc>
        <w:tc>
          <w:tcPr>
            <w:tcW w:w="1458" w:type="dxa"/>
            <w:shd w:val="clear" w:color="auto" w:fill="BFBFBF" w:themeFill="background1" w:themeFillShade="BF"/>
            <w:vAlign w:val="center"/>
          </w:tcPr>
          <w:p w14:paraId="75186819" w14:textId="77777777" w:rsidR="005C03EB" w:rsidRPr="00CD1DFD" w:rsidRDefault="005C03EB" w:rsidP="00AC67F1">
            <w:pPr>
              <w:jc w:val="right"/>
              <w:rPr>
                <w:rFonts w:cs="Arial"/>
              </w:rPr>
            </w:pPr>
          </w:p>
        </w:tc>
      </w:tr>
      <w:tr w:rsidR="005C03EB" w:rsidRPr="00CD1DFD" w14:paraId="1132081D" w14:textId="77777777" w:rsidTr="005C03EB">
        <w:trPr>
          <w:trHeight w:val="643"/>
          <w:jc w:val="center"/>
        </w:trPr>
        <w:tc>
          <w:tcPr>
            <w:tcW w:w="3828" w:type="dxa"/>
            <w:vAlign w:val="center"/>
          </w:tcPr>
          <w:p w14:paraId="76766FEC" w14:textId="77777777" w:rsidR="005C03EB" w:rsidRPr="001E485A" w:rsidRDefault="005C03EB" w:rsidP="00AC67F1">
            <w:pPr>
              <w:rPr>
                <w:rFonts w:cs="Arial"/>
              </w:rPr>
            </w:pPr>
            <w:r w:rsidRPr="001E485A">
              <w:rPr>
                <w:rFonts w:cs="Arial"/>
              </w:rPr>
              <w:t>Revenue Support Grant</w:t>
            </w:r>
          </w:p>
        </w:tc>
        <w:tc>
          <w:tcPr>
            <w:tcW w:w="1148" w:type="dxa"/>
            <w:vAlign w:val="center"/>
          </w:tcPr>
          <w:p w14:paraId="6D445BB9" w14:textId="77777777" w:rsidR="005C03EB" w:rsidRPr="00CD1DFD" w:rsidRDefault="005C03EB" w:rsidP="00AC67F1">
            <w:pPr>
              <w:jc w:val="right"/>
              <w:rPr>
                <w:rFonts w:cs="Arial"/>
              </w:rPr>
            </w:pPr>
            <w:r w:rsidRPr="00CD1DFD">
              <w:rPr>
                <w:rFonts w:cs="Arial"/>
              </w:rPr>
              <w:t>81.508</w:t>
            </w:r>
          </w:p>
        </w:tc>
        <w:tc>
          <w:tcPr>
            <w:tcW w:w="1147" w:type="dxa"/>
            <w:vAlign w:val="center"/>
          </w:tcPr>
          <w:p w14:paraId="727FB959" w14:textId="77777777" w:rsidR="005C03EB" w:rsidRPr="00CD1DFD" w:rsidRDefault="005C03EB" w:rsidP="00AC67F1">
            <w:pPr>
              <w:jc w:val="right"/>
              <w:rPr>
                <w:rFonts w:cs="Arial"/>
              </w:rPr>
            </w:pPr>
            <w:r w:rsidRPr="00CD1DFD">
              <w:rPr>
                <w:rFonts w:cs="Arial"/>
              </w:rPr>
              <w:t>56.979</w:t>
            </w:r>
          </w:p>
        </w:tc>
        <w:tc>
          <w:tcPr>
            <w:tcW w:w="1458" w:type="dxa"/>
            <w:vAlign w:val="center"/>
          </w:tcPr>
          <w:p w14:paraId="28F66FF6" w14:textId="77777777" w:rsidR="005C03EB" w:rsidRPr="00CD1DFD" w:rsidRDefault="005C03EB" w:rsidP="00AC67F1">
            <w:pPr>
              <w:jc w:val="right"/>
              <w:rPr>
                <w:rFonts w:cs="Arial"/>
              </w:rPr>
            </w:pPr>
            <w:r w:rsidRPr="00CD1DFD">
              <w:rPr>
                <w:rFonts w:cs="Arial"/>
              </w:rPr>
              <w:t>32.894</w:t>
            </w:r>
          </w:p>
        </w:tc>
      </w:tr>
      <w:tr w:rsidR="005C03EB" w:rsidRPr="00CD1DFD" w14:paraId="15451340" w14:textId="77777777" w:rsidTr="005C03EB">
        <w:trPr>
          <w:trHeight w:val="682"/>
          <w:jc w:val="center"/>
        </w:trPr>
        <w:tc>
          <w:tcPr>
            <w:tcW w:w="3828" w:type="dxa"/>
            <w:vAlign w:val="center"/>
          </w:tcPr>
          <w:p w14:paraId="476DE88C" w14:textId="77777777" w:rsidR="005C03EB" w:rsidRPr="001E485A" w:rsidRDefault="005C03EB" w:rsidP="00AC67F1">
            <w:pPr>
              <w:rPr>
                <w:rFonts w:cs="Arial"/>
              </w:rPr>
            </w:pPr>
            <w:r w:rsidRPr="001E485A">
              <w:rPr>
                <w:rFonts w:cs="Arial"/>
              </w:rPr>
              <w:t>Business Rate Baseline</w:t>
            </w:r>
          </w:p>
        </w:tc>
        <w:tc>
          <w:tcPr>
            <w:tcW w:w="1148" w:type="dxa"/>
            <w:vAlign w:val="center"/>
          </w:tcPr>
          <w:p w14:paraId="4D7710F5" w14:textId="77777777" w:rsidR="005C03EB" w:rsidRPr="00CD1DFD" w:rsidRDefault="005C03EB" w:rsidP="00AC67F1">
            <w:pPr>
              <w:jc w:val="right"/>
              <w:rPr>
                <w:rFonts w:cs="Arial"/>
              </w:rPr>
            </w:pPr>
            <w:r w:rsidRPr="00CD1DFD">
              <w:rPr>
                <w:rFonts w:cs="Arial"/>
              </w:rPr>
              <w:t>176.818</w:t>
            </w:r>
          </w:p>
        </w:tc>
        <w:tc>
          <w:tcPr>
            <w:tcW w:w="1147" w:type="dxa"/>
            <w:vAlign w:val="center"/>
          </w:tcPr>
          <w:p w14:paraId="6BD268A2" w14:textId="77777777" w:rsidR="005C03EB" w:rsidRPr="00CD1DFD" w:rsidRDefault="005C03EB" w:rsidP="00AC67F1">
            <w:pPr>
              <w:jc w:val="right"/>
              <w:rPr>
                <w:rFonts w:cs="Arial"/>
              </w:rPr>
            </w:pPr>
            <w:r w:rsidRPr="00CD1DFD">
              <w:rPr>
                <w:rFonts w:cs="Arial"/>
              </w:rPr>
              <w:t>182.035</w:t>
            </w:r>
          </w:p>
        </w:tc>
        <w:tc>
          <w:tcPr>
            <w:tcW w:w="1458" w:type="dxa"/>
            <w:vAlign w:val="center"/>
          </w:tcPr>
          <w:p w14:paraId="020502B2" w14:textId="77777777" w:rsidR="005C03EB" w:rsidRPr="00CD1DFD" w:rsidRDefault="005C03EB" w:rsidP="00AC67F1">
            <w:pPr>
              <w:jc w:val="right"/>
              <w:rPr>
                <w:rFonts w:cs="Arial"/>
              </w:rPr>
            </w:pPr>
            <w:r w:rsidRPr="00CD1DFD">
              <w:rPr>
                <w:rFonts w:cs="Arial"/>
              </w:rPr>
              <w:t>187.853</w:t>
            </w:r>
          </w:p>
        </w:tc>
      </w:tr>
      <w:tr w:rsidR="005C03EB" w:rsidRPr="00CD1DFD" w14:paraId="60F10DD5" w14:textId="77777777" w:rsidTr="005C03EB">
        <w:trPr>
          <w:trHeight w:val="602"/>
          <w:jc w:val="center"/>
        </w:trPr>
        <w:tc>
          <w:tcPr>
            <w:tcW w:w="3828" w:type="dxa"/>
            <w:shd w:val="clear" w:color="auto" w:fill="BFBFBF" w:themeFill="background1" w:themeFillShade="BF"/>
            <w:vAlign w:val="center"/>
          </w:tcPr>
          <w:p w14:paraId="160034A7" w14:textId="7469FA85" w:rsidR="005C03EB" w:rsidRPr="00CD1DFD" w:rsidRDefault="004C52A6" w:rsidP="00AC67F1">
            <w:pPr>
              <w:rPr>
                <w:rFonts w:cs="Arial"/>
                <w:b/>
              </w:rPr>
            </w:pPr>
            <w:r>
              <w:rPr>
                <w:rFonts w:cs="Arial"/>
                <w:b/>
              </w:rPr>
              <w:t>Total</w:t>
            </w:r>
          </w:p>
        </w:tc>
        <w:tc>
          <w:tcPr>
            <w:tcW w:w="1148" w:type="dxa"/>
            <w:shd w:val="clear" w:color="auto" w:fill="BFBFBF" w:themeFill="background1" w:themeFillShade="BF"/>
            <w:vAlign w:val="center"/>
          </w:tcPr>
          <w:p w14:paraId="4CA483F2" w14:textId="77777777" w:rsidR="005C03EB" w:rsidRPr="00CD1DFD" w:rsidRDefault="005C03EB" w:rsidP="00AC67F1">
            <w:pPr>
              <w:jc w:val="right"/>
              <w:rPr>
                <w:rFonts w:cs="Arial"/>
                <w:b/>
              </w:rPr>
            </w:pPr>
            <w:r w:rsidRPr="00CD1DFD">
              <w:rPr>
                <w:rFonts w:cs="Arial"/>
                <w:b/>
              </w:rPr>
              <w:t>258.326</w:t>
            </w:r>
          </w:p>
        </w:tc>
        <w:tc>
          <w:tcPr>
            <w:tcW w:w="1147" w:type="dxa"/>
            <w:shd w:val="clear" w:color="auto" w:fill="BFBFBF" w:themeFill="background1" w:themeFillShade="BF"/>
            <w:vAlign w:val="center"/>
          </w:tcPr>
          <w:p w14:paraId="5E66B893" w14:textId="77777777" w:rsidR="005C03EB" w:rsidRPr="00CD1DFD" w:rsidRDefault="005C03EB" w:rsidP="00AC67F1">
            <w:pPr>
              <w:jc w:val="right"/>
              <w:rPr>
                <w:rFonts w:cs="Arial"/>
                <w:b/>
              </w:rPr>
            </w:pPr>
            <w:r w:rsidRPr="00CD1DFD">
              <w:rPr>
                <w:rFonts w:cs="Arial"/>
                <w:b/>
              </w:rPr>
              <w:t>239.014</w:t>
            </w:r>
          </w:p>
        </w:tc>
        <w:tc>
          <w:tcPr>
            <w:tcW w:w="1458" w:type="dxa"/>
            <w:shd w:val="clear" w:color="auto" w:fill="BFBFBF" w:themeFill="background1" w:themeFillShade="BF"/>
            <w:vAlign w:val="center"/>
          </w:tcPr>
          <w:p w14:paraId="25C3BB31" w14:textId="77777777" w:rsidR="005C03EB" w:rsidRPr="00CD1DFD" w:rsidRDefault="005C03EB" w:rsidP="00AC67F1">
            <w:pPr>
              <w:jc w:val="right"/>
              <w:rPr>
                <w:rFonts w:cs="Arial"/>
                <w:b/>
              </w:rPr>
            </w:pPr>
            <w:r w:rsidRPr="00CD1DFD">
              <w:rPr>
                <w:rFonts w:cs="Arial"/>
                <w:b/>
              </w:rPr>
              <w:t>220.747</w:t>
            </w:r>
          </w:p>
        </w:tc>
      </w:tr>
      <w:tr w:rsidR="005C03EB" w:rsidRPr="00CD1DFD" w14:paraId="05C0117F" w14:textId="77777777" w:rsidTr="005C03EB">
        <w:trPr>
          <w:trHeight w:val="680"/>
          <w:jc w:val="center"/>
        </w:trPr>
        <w:tc>
          <w:tcPr>
            <w:tcW w:w="3828" w:type="dxa"/>
            <w:shd w:val="clear" w:color="auto" w:fill="auto"/>
            <w:vAlign w:val="center"/>
          </w:tcPr>
          <w:p w14:paraId="1AAC85B7" w14:textId="153D769D" w:rsidR="005C03EB" w:rsidRPr="001E485A" w:rsidRDefault="004C00D2" w:rsidP="00AC67F1">
            <w:pPr>
              <w:rPr>
                <w:rFonts w:cs="Arial"/>
              </w:rPr>
            </w:pPr>
            <w:r>
              <w:rPr>
                <w:rFonts w:cs="Arial"/>
              </w:rPr>
              <w:t>Reduction in</w:t>
            </w:r>
            <w:r w:rsidR="005C03EB" w:rsidRPr="001E485A">
              <w:rPr>
                <w:rFonts w:cs="Arial"/>
              </w:rPr>
              <w:t xml:space="preserve"> SFA</w:t>
            </w:r>
          </w:p>
        </w:tc>
        <w:tc>
          <w:tcPr>
            <w:tcW w:w="1148" w:type="dxa"/>
            <w:shd w:val="clear" w:color="auto" w:fill="auto"/>
            <w:vAlign w:val="center"/>
          </w:tcPr>
          <w:p w14:paraId="77BC5BE8" w14:textId="77777777" w:rsidR="005C03EB" w:rsidRPr="001E485A" w:rsidRDefault="005C03EB" w:rsidP="00AC67F1">
            <w:pPr>
              <w:jc w:val="right"/>
              <w:rPr>
                <w:rFonts w:cs="Arial"/>
              </w:rPr>
            </w:pPr>
            <w:r w:rsidRPr="001E485A">
              <w:rPr>
                <w:rFonts w:cs="Arial"/>
              </w:rPr>
              <w:t>-33.923</w:t>
            </w:r>
          </w:p>
        </w:tc>
        <w:tc>
          <w:tcPr>
            <w:tcW w:w="1147" w:type="dxa"/>
            <w:shd w:val="clear" w:color="auto" w:fill="auto"/>
            <w:vAlign w:val="center"/>
          </w:tcPr>
          <w:p w14:paraId="101EC6F9" w14:textId="77777777" w:rsidR="005C03EB" w:rsidRPr="001E485A" w:rsidRDefault="005C03EB" w:rsidP="00AC67F1">
            <w:pPr>
              <w:jc w:val="right"/>
              <w:rPr>
                <w:rFonts w:cs="Arial"/>
              </w:rPr>
            </w:pPr>
            <w:r w:rsidRPr="001E485A">
              <w:rPr>
                <w:rFonts w:cs="Arial"/>
              </w:rPr>
              <w:t>-19.312</w:t>
            </w:r>
          </w:p>
        </w:tc>
        <w:tc>
          <w:tcPr>
            <w:tcW w:w="1458" w:type="dxa"/>
            <w:shd w:val="clear" w:color="auto" w:fill="auto"/>
            <w:vAlign w:val="center"/>
          </w:tcPr>
          <w:p w14:paraId="07C40352" w14:textId="77777777" w:rsidR="005C03EB" w:rsidRPr="001E485A" w:rsidRDefault="005C03EB" w:rsidP="00AC67F1">
            <w:pPr>
              <w:jc w:val="right"/>
              <w:rPr>
                <w:rFonts w:cs="Arial"/>
              </w:rPr>
            </w:pPr>
            <w:r w:rsidRPr="001E485A">
              <w:rPr>
                <w:rFonts w:cs="Arial"/>
              </w:rPr>
              <w:t>-18.267</w:t>
            </w:r>
          </w:p>
        </w:tc>
      </w:tr>
    </w:tbl>
    <w:p w14:paraId="346BEB29" w14:textId="77777777" w:rsidR="00A32D45" w:rsidRPr="00CD1DFD" w:rsidRDefault="00A32D45" w:rsidP="00A32D45">
      <w:pPr>
        <w:rPr>
          <w:rFonts w:cs="Arial"/>
        </w:rPr>
      </w:pPr>
    </w:p>
    <w:p w14:paraId="49CE1B6A" w14:textId="08B51A62" w:rsidR="003F76DE" w:rsidRPr="00CD1DFD" w:rsidRDefault="003F76DE" w:rsidP="003F76DE">
      <w:pPr>
        <w:rPr>
          <w:rFonts w:cs="Arial"/>
        </w:rPr>
      </w:pPr>
      <w:r w:rsidRPr="00CD1DFD">
        <w:rPr>
          <w:rFonts w:cs="Arial"/>
        </w:rPr>
        <w:t>The Settlement for 2017/18 to 2019/20 were indicative but the Secretary of State offered local authorities</w:t>
      </w:r>
      <w:r>
        <w:rPr>
          <w:rFonts w:cs="Arial"/>
        </w:rPr>
        <w:t xml:space="preserve"> the opportunity </w:t>
      </w:r>
      <w:r w:rsidRPr="00CD1DFD">
        <w:rPr>
          <w:rFonts w:cs="Arial"/>
        </w:rPr>
        <w:t xml:space="preserve">to apply for a four year </w:t>
      </w:r>
      <w:r>
        <w:rPr>
          <w:rFonts w:cs="Arial"/>
        </w:rPr>
        <w:t>finance settlement covering the Revenue Support Grant, Rural Services Delivery Grant and Transitional Grant</w:t>
      </w:r>
      <w:r w:rsidRPr="00CD1DFD">
        <w:rPr>
          <w:rFonts w:cs="Arial"/>
        </w:rPr>
        <w:t>. Authorities have until 14th October</w:t>
      </w:r>
      <w:r>
        <w:rPr>
          <w:rFonts w:cs="Arial"/>
        </w:rPr>
        <w:t xml:space="preserve"> 2016</w:t>
      </w:r>
      <w:r w:rsidRPr="00CD1DFD">
        <w:rPr>
          <w:rFonts w:cs="Arial"/>
        </w:rPr>
        <w:t xml:space="preserve"> to accept the </w:t>
      </w:r>
      <w:r>
        <w:rPr>
          <w:rFonts w:cs="Arial"/>
        </w:rPr>
        <w:t>offer which is subject to being supported by a published efficiency plan and needs to be considered in the context of the identified gap in funding and the fact that based on current assumptions the funding covered under the offer represents c12% of the Council's assumed core funding in 2017/18 and is already assumed to reduce further each year until ultimately Revenue Support Grant is phase</w:t>
      </w:r>
      <w:r w:rsidR="009113C7">
        <w:rPr>
          <w:rFonts w:cs="Arial"/>
        </w:rPr>
        <w:t>d</w:t>
      </w:r>
      <w:r>
        <w:rPr>
          <w:rFonts w:cs="Arial"/>
        </w:rPr>
        <w:t xml:space="preserve"> out completely by April 2021 at the latest.   </w:t>
      </w:r>
    </w:p>
    <w:p w14:paraId="3B56DF7F" w14:textId="694BA29D" w:rsidR="001821C9" w:rsidRDefault="00A32D45" w:rsidP="001821C9">
      <w:pPr>
        <w:spacing w:after="0"/>
        <w:rPr>
          <w:rFonts w:cs="Arial"/>
        </w:rPr>
      </w:pPr>
      <w:r>
        <w:rPr>
          <w:rFonts w:cs="Arial"/>
        </w:rPr>
        <w:t xml:space="preserve">The indicative figures that have been provided </w:t>
      </w:r>
      <w:r w:rsidR="00CB0393">
        <w:rPr>
          <w:rFonts w:cs="Arial"/>
        </w:rPr>
        <w:t>remain</w:t>
      </w:r>
      <w:r>
        <w:rPr>
          <w:rFonts w:cs="Arial"/>
        </w:rPr>
        <w:t xml:space="preserve"> the best available forecast </w:t>
      </w:r>
      <w:r w:rsidR="00CB0393">
        <w:rPr>
          <w:rFonts w:cs="Arial"/>
        </w:rPr>
        <w:t xml:space="preserve">of </w:t>
      </w:r>
      <w:r>
        <w:rPr>
          <w:rFonts w:cs="Arial"/>
        </w:rPr>
        <w:t>C</w:t>
      </w:r>
      <w:r w:rsidRPr="00CD1DFD">
        <w:rPr>
          <w:rFonts w:cs="Arial"/>
        </w:rPr>
        <w:t xml:space="preserve">entral </w:t>
      </w:r>
      <w:r>
        <w:rPr>
          <w:rFonts w:cs="Arial"/>
        </w:rPr>
        <w:t>G</w:t>
      </w:r>
      <w:r w:rsidRPr="00CD1DFD">
        <w:rPr>
          <w:rFonts w:cs="Arial"/>
        </w:rPr>
        <w:t>overnment</w:t>
      </w:r>
      <w:r>
        <w:rPr>
          <w:rFonts w:cs="Arial"/>
        </w:rPr>
        <w:t>'</w:t>
      </w:r>
      <w:r w:rsidRPr="00CD1DFD">
        <w:rPr>
          <w:rFonts w:cs="Arial"/>
        </w:rPr>
        <w:t xml:space="preserve">s funding </w:t>
      </w:r>
      <w:r>
        <w:rPr>
          <w:rFonts w:cs="Arial"/>
        </w:rPr>
        <w:t>intentions</w:t>
      </w:r>
      <w:r w:rsidRPr="00CD1DFD">
        <w:rPr>
          <w:rFonts w:cs="Arial"/>
        </w:rPr>
        <w:t xml:space="preserve">. </w:t>
      </w:r>
      <w:r w:rsidR="00CB0393">
        <w:rPr>
          <w:rFonts w:cs="Arial"/>
        </w:rPr>
        <w:t>They have therefore been retained as the basis of this MTFS.</w:t>
      </w:r>
    </w:p>
    <w:p w14:paraId="24AA0F4A" w14:textId="0EC8EF05" w:rsidR="00A32D45" w:rsidRDefault="00A32D45" w:rsidP="001821C9">
      <w:pPr>
        <w:spacing w:after="0"/>
        <w:rPr>
          <w:rFonts w:cs="Arial"/>
        </w:rPr>
      </w:pPr>
      <w:r>
        <w:rPr>
          <w:rFonts w:cs="Arial"/>
        </w:rPr>
        <w:t xml:space="preserve"> </w:t>
      </w:r>
    </w:p>
    <w:p w14:paraId="6CC7296C" w14:textId="01FE6108" w:rsidR="00A32D45" w:rsidRPr="00CD1DFD" w:rsidRDefault="00A32D45" w:rsidP="001821C9">
      <w:pPr>
        <w:spacing w:after="0"/>
        <w:rPr>
          <w:rFonts w:cs="Arial"/>
        </w:rPr>
      </w:pPr>
      <w:r w:rsidRPr="00CD1DFD">
        <w:rPr>
          <w:rFonts w:cs="Arial"/>
        </w:rPr>
        <w:t xml:space="preserve">However, there is still </w:t>
      </w:r>
      <w:r>
        <w:rPr>
          <w:rFonts w:cs="Arial"/>
        </w:rPr>
        <w:t xml:space="preserve">significant </w:t>
      </w:r>
      <w:r w:rsidRPr="00CD1DFD">
        <w:rPr>
          <w:rFonts w:cs="Arial"/>
        </w:rPr>
        <w:t>risk associated with the figures</w:t>
      </w:r>
      <w:r>
        <w:rPr>
          <w:rFonts w:cs="Arial"/>
        </w:rPr>
        <w:t xml:space="preserve"> include in the table above</w:t>
      </w:r>
      <w:r w:rsidRPr="00CD1DFD">
        <w:rPr>
          <w:rFonts w:cs="Arial"/>
        </w:rPr>
        <w:t>. At the time of the final settlement in February 2016 the forecast of economic growth w</w:t>
      </w:r>
      <w:r>
        <w:rPr>
          <w:rFonts w:cs="Arial"/>
        </w:rPr>
        <w:t>as</w:t>
      </w:r>
      <w:r w:rsidRPr="00CD1DFD">
        <w:rPr>
          <w:rFonts w:cs="Arial"/>
        </w:rPr>
        <w:t xml:space="preserve"> in the region of 2% per annum. </w:t>
      </w:r>
      <w:r>
        <w:rPr>
          <w:rFonts w:cs="Arial"/>
        </w:rPr>
        <w:t xml:space="preserve"> </w:t>
      </w:r>
      <w:r w:rsidRPr="00CD1DFD">
        <w:rPr>
          <w:rFonts w:cs="Arial"/>
        </w:rPr>
        <w:t>Since then economic conditions and uncertainty both at home and in the world economy have worsened</w:t>
      </w:r>
      <w:r>
        <w:rPr>
          <w:rFonts w:cs="Arial"/>
        </w:rPr>
        <w:t>, particularly following the United Kingdom's decision to leave the European Union</w:t>
      </w:r>
      <w:r w:rsidRPr="00CD1DFD">
        <w:rPr>
          <w:rFonts w:cs="Arial"/>
        </w:rPr>
        <w:t xml:space="preserve">. Most estimates of UK economic growth </w:t>
      </w:r>
      <w:r>
        <w:rPr>
          <w:rFonts w:cs="Arial"/>
        </w:rPr>
        <w:t xml:space="preserve">over the lifetime of this MTFS </w:t>
      </w:r>
      <w:r w:rsidRPr="00CD1DFD">
        <w:rPr>
          <w:rFonts w:cs="Arial"/>
        </w:rPr>
        <w:t>are now lower. This wil</w:t>
      </w:r>
      <w:r>
        <w:rPr>
          <w:rFonts w:cs="Arial"/>
        </w:rPr>
        <w:t>l have an impact on</w:t>
      </w:r>
      <w:r w:rsidRPr="00CD1DFD">
        <w:rPr>
          <w:rFonts w:cs="Arial"/>
        </w:rPr>
        <w:t xml:space="preserve"> Government finances and could potentially result in further public sector expenditure reductions although the Chancellor has announced that the aim to generate a surplus by the end of parliament is no longer sustainable.  Further clarity </w:t>
      </w:r>
      <w:r w:rsidRPr="00CD1DFD">
        <w:rPr>
          <w:rFonts w:cs="Arial"/>
        </w:rPr>
        <w:lastRenderedPageBreak/>
        <w:t>of the Government's intentions are unlikely to be known until the Autumn Statement when some indication of public sector expenditure will be given.</w:t>
      </w:r>
    </w:p>
    <w:p w14:paraId="2F8D1590" w14:textId="77777777" w:rsidR="00A32D45" w:rsidRDefault="00A32D45" w:rsidP="00A32D45">
      <w:pPr>
        <w:rPr>
          <w:rFonts w:cs="Arial"/>
          <w:b/>
          <w:u w:val="single"/>
        </w:rPr>
      </w:pPr>
    </w:p>
    <w:p w14:paraId="5280FC92" w14:textId="77777777" w:rsidR="00A32D45" w:rsidRPr="00641AE3" w:rsidRDefault="00A32D45" w:rsidP="00A32D45">
      <w:pPr>
        <w:rPr>
          <w:rFonts w:cs="Arial"/>
          <w:b/>
          <w:u w:val="single"/>
        </w:rPr>
      </w:pPr>
      <w:r w:rsidRPr="00641AE3">
        <w:rPr>
          <w:rFonts w:cs="Arial"/>
          <w:b/>
          <w:u w:val="single"/>
        </w:rPr>
        <w:t xml:space="preserve">Business Rates </w:t>
      </w:r>
    </w:p>
    <w:p w14:paraId="39663CEA" w14:textId="4D864B29" w:rsidR="00A32D45" w:rsidRPr="00CD1DFD" w:rsidRDefault="00A32D45" w:rsidP="00A32D45">
      <w:pPr>
        <w:rPr>
          <w:rFonts w:cs="Arial"/>
        </w:rPr>
      </w:pPr>
      <w:r w:rsidRPr="00CD1DFD">
        <w:rPr>
          <w:rFonts w:cs="Arial"/>
        </w:rPr>
        <w:t xml:space="preserve"> The business rates budget consists of</w:t>
      </w:r>
      <w:r w:rsidR="001821C9">
        <w:rPr>
          <w:rFonts w:cs="Arial"/>
        </w:rPr>
        <w:t>:</w:t>
      </w:r>
    </w:p>
    <w:p w14:paraId="223BA89D" w14:textId="77777777" w:rsidR="00A32D45" w:rsidRPr="00CD1DFD" w:rsidRDefault="00A32D45" w:rsidP="00C029F0">
      <w:pPr>
        <w:pStyle w:val="ListParagraph"/>
        <w:numPr>
          <w:ilvl w:val="0"/>
          <w:numId w:val="30"/>
        </w:numPr>
        <w:autoSpaceDE/>
        <w:autoSpaceDN/>
        <w:adjustRightInd/>
        <w:spacing w:after="160" w:line="259" w:lineRule="auto"/>
        <w:jc w:val="left"/>
        <w:rPr>
          <w:rFonts w:cs="Arial"/>
        </w:rPr>
      </w:pPr>
      <w:r w:rsidRPr="00CD1DFD">
        <w:rPr>
          <w:rFonts w:cs="Arial"/>
        </w:rPr>
        <w:t>Business rate top up grant</w:t>
      </w:r>
    </w:p>
    <w:p w14:paraId="65C04D13" w14:textId="16F28DEA" w:rsidR="00A32D45" w:rsidRPr="00CD1DFD" w:rsidRDefault="001821C9" w:rsidP="00C029F0">
      <w:pPr>
        <w:pStyle w:val="ListParagraph"/>
        <w:numPr>
          <w:ilvl w:val="0"/>
          <w:numId w:val="30"/>
        </w:numPr>
        <w:autoSpaceDE/>
        <w:autoSpaceDN/>
        <w:adjustRightInd/>
        <w:spacing w:after="160" w:line="259" w:lineRule="auto"/>
        <w:jc w:val="left"/>
        <w:rPr>
          <w:rFonts w:cs="Arial"/>
        </w:rPr>
      </w:pPr>
      <w:r>
        <w:rPr>
          <w:rFonts w:cs="Arial"/>
        </w:rPr>
        <w:t>Business rate income from D</w:t>
      </w:r>
      <w:r w:rsidR="00A32D45" w:rsidRPr="00CD1DFD">
        <w:rPr>
          <w:rFonts w:cs="Arial"/>
        </w:rPr>
        <w:t>istrict</w:t>
      </w:r>
      <w:r>
        <w:rPr>
          <w:rFonts w:cs="Arial"/>
        </w:rPr>
        <w:t xml:space="preserve"> Councils</w:t>
      </w:r>
    </w:p>
    <w:p w14:paraId="1D59BB07" w14:textId="60489F9C" w:rsidR="00A32D45" w:rsidRPr="00CD1DFD" w:rsidRDefault="001821C9" w:rsidP="00C029F0">
      <w:pPr>
        <w:pStyle w:val="ListParagraph"/>
        <w:numPr>
          <w:ilvl w:val="0"/>
          <w:numId w:val="30"/>
        </w:numPr>
        <w:autoSpaceDE/>
        <w:autoSpaceDN/>
        <w:adjustRightInd/>
        <w:spacing w:after="160" w:line="259" w:lineRule="auto"/>
        <w:jc w:val="left"/>
        <w:rPr>
          <w:rFonts w:cs="Arial"/>
        </w:rPr>
      </w:pPr>
      <w:r>
        <w:rPr>
          <w:rFonts w:cs="Arial"/>
        </w:rPr>
        <w:t>Section 31 g</w:t>
      </w:r>
      <w:r w:rsidR="00A32D45" w:rsidRPr="00CD1DFD">
        <w:rPr>
          <w:rFonts w:cs="Arial"/>
        </w:rPr>
        <w:t>rants</w:t>
      </w:r>
    </w:p>
    <w:p w14:paraId="1668CF51" w14:textId="0C4B1C62" w:rsidR="00A32D45" w:rsidRDefault="00A32D45" w:rsidP="001821C9">
      <w:pPr>
        <w:spacing w:after="0"/>
        <w:rPr>
          <w:rFonts w:cs="Arial"/>
        </w:rPr>
      </w:pPr>
      <w:r w:rsidRPr="00CD1DFD">
        <w:rPr>
          <w:rFonts w:cs="Arial"/>
        </w:rPr>
        <w:t xml:space="preserve">As shown in the table </w:t>
      </w:r>
      <w:r w:rsidR="001821C9">
        <w:rPr>
          <w:rFonts w:cs="Arial"/>
        </w:rPr>
        <w:t>above detailing the S</w:t>
      </w:r>
      <w:r w:rsidRPr="00CD1DFD">
        <w:rPr>
          <w:rFonts w:cs="Arial"/>
        </w:rPr>
        <w:t xml:space="preserve">FA the business rate income is a significant portion of funding </w:t>
      </w:r>
      <w:r w:rsidR="001821C9">
        <w:rPr>
          <w:rFonts w:cs="Arial"/>
        </w:rPr>
        <w:t xml:space="preserve">to </w:t>
      </w:r>
      <w:r w:rsidRPr="00CD1DFD">
        <w:rPr>
          <w:rFonts w:cs="Arial"/>
        </w:rPr>
        <w:t xml:space="preserve">local authorities. The baseline is an assessment of the business rate income required to meet service needs. For the County Council the amount anticipated to be received from the business rates collected in the area is less than its assessed need therefore it receives a top up grant. </w:t>
      </w:r>
    </w:p>
    <w:p w14:paraId="3D52218C" w14:textId="77777777" w:rsidR="001821C9" w:rsidRDefault="001821C9" w:rsidP="001821C9">
      <w:pPr>
        <w:spacing w:after="0"/>
        <w:rPr>
          <w:rFonts w:cs="Arial"/>
        </w:rPr>
      </w:pPr>
    </w:p>
    <w:p w14:paraId="4DE60CC0" w14:textId="7848B021" w:rsidR="00A32D45" w:rsidRDefault="00A32D45" w:rsidP="001821C9">
      <w:pPr>
        <w:spacing w:after="0"/>
        <w:rPr>
          <w:rFonts w:cs="Arial"/>
        </w:rPr>
      </w:pPr>
      <w:r w:rsidRPr="00CD1DFD">
        <w:rPr>
          <w:rFonts w:cs="Arial"/>
        </w:rPr>
        <w:t xml:space="preserve">The MTFS </w:t>
      </w:r>
      <w:r w:rsidR="001821C9">
        <w:rPr>
          <w:rFonts w:cs="Arial"/>
        </w:rPr>
        <w:t xml:space="preserve">that was reported to Full Council </w:t>
      </w:r>
      <w:r w:rsidRPr="00CD1DFD">
        <w:rPr>
          <w:rFonts w:cs="Arial"/>
        </w:rPr>
        <w:t>consist</w:t>
      </w:r>
      <w:r w:rsidR="001821C9">
        <w:rPr>
          <w:rFonts w:cs="Arial"/>
        </w:rPr>
        <w:t>ed</w:t>
      </w:r>
      <w:r w:rsidRPr="00CD1DFD">
        <w:rPr>
          <w:rFonts w:cs="Arial"/>
        </w:rPr>
        <w:t xml:space="preserve"> of: </w:t>
      </w:r>
    </w:p>
    <w:p w14:paraId="12DDCD48" w14:textId="77777777" w:rsidR="001821C9" w:rsidRPr="00CD1DFD" w:rsidRDefault="001821C9" w:rsidP="001821C9">
      <w:pPr>
        <w:spacing w:after="0"/>
        <w:rPr>
          <w:rFonts w:cs="Arial"/>
        </w:rPr>
      </w:pPr>
    </w:p>
    <w:tbl>
      <w:tblPr>
        <w:tblStyle w:val="TableGrid"/>
        <w:tblW w:w="9190" w:type="dxa"/>
        <w:jc w:val="center"/>
        <w:tblLayout w:type="fixed"/>
        <w:tblLook w:val="04A0" w:firstRow="1" w:lastRow="0" w:firstColumn="1" w:lastColumn="0" w:noHBand="0" w:noVBand="1"/>
      </w:tblPr>
      <w:tblGrid>
        <w:gridCol w:w="3823"/>
        <w:gridCol w:w="1341"/>
        <w:gridCol w:w="1342"/>
        <w:gridCol w:w="1342"/>
        <w:gridCol w:w="1342"/>
      </w:tblGrid>
      <w:tr w:rsidR="00A32D45" w:rsidRPr="00CD1DFD" w14:paraId="7F2AD5D0" w14:textId="77777777" w:rsidTr="00AC67F1">
        <w:trPr>
          <w:trHeight w:val="581"/>
          <w:jc w:val="center"/>
        </w:trPr>
        <w:tc>
          <w:tcPr>
            <w:tcW w:w="3823" w:type="dxa"/>
            <w:shd w:val="clear" w:color="auto" w:fill="BFBFBF" w:themeFill="background1" w:themeFillShade="BF"/>
            <w:vAlign w:val="center"/>
          </w:tcPr>
          <w:p w14:paraId="0D83EFAE" w14:textId="77777777" w:rsidR="00A32D45" w:rsidRPr="00CD1DFD" w:rsidRDefault="00A32D45" w:rsidP="00AC67F1">
            <w:pPr>
              <w:pStyle w:val="NoSpacing"/>
              <w:jc w:val="both"/>
              <w:rPr>
                <w:rFonts w:cs="Arial"/>
              </w:rPr>
            </w:pPr>
          </w:p>
        </w:tc>
        <w:tc>
          <w:tcPr>
            <w:tcW w:w="1341" w:type="dxa"/>
            <w:shd w:val="clear" w:color="auto" w:fill="BFBFBF" w:themeFill="background1" w:themeFillShade="BF"/>
            <w:vAlign w:val="center"/>
          </w:tcPr>
          <w:p w14:paraId="198E9618" w14:textId="77777777" w:rsidR="00A32D45" w:rsidRPr="00CD1DFD" w:rsidRDefault="00A32D45" w:rsidP="00AC67F1">
            <w:pPr>
              <w:pStyle w:val="NoSpacing"/>
              <w:jc w:val="center"/>
              <w:rPr>
                <w:rFonts w:cs="Arial"/>
                <w:b/>
              </w:rPr>
            </w:pPr>
            <w:r w:rsidRPr="00CD1DFD">
              <w:rPr>
                <w:rFonts w:cs="Arial"/>
                <w:b/>
              </w:rPr>
              <w:t>2017/18</w:t>
            </w:r>
          </w:p>
          <w:p w14:paraId="0E20CCD2" w14:textId="77777777" w:rsidR="00A32D45" w:rsidRPr="00CD1DFD" w:rsidRDefault="00A32D45" w:rsidP="00AC67F1">
            <w:pPr>
              <w:pStyle w:val="NoSpacing"/>
              <w:jc w:val="center"/>
              <w:rPr>
                <w:rFonts w:cs="Arial"/>
                <w:b/>
              </w:rPr>
            </w:pPr>
            <w:r w:rsidRPr="00CD1DFD">
              <w:rPr>
                <w:rFonts w:cs="Arial"/>
                <w:b/>
              </w:rPr>
              <w:t>£m</w:t>
            </w:r>
          </w:p>
        </w:tc>
        <w:tc>
          <w:tcPr>
            <w:tcW w:w="1342" w:type="dxa"/>
            <w:shd w:val="clear" w:color="auto" w:fill="BFBFBF" w:themeFill="background1" w:themeFillShade="BF"/>
            <w:vAlign w:val="center"/>
          </w:tcPr>
          <w:p w14:paraId="1B5E4D50" w14:textId="77777777" w:rsidR="00A32D45" w:rsidRPr="00CD1DFD" w:rsidRDefault="00A32D45" w:rsidP="00AC67F1">
            <w:pPr>
              <w:pStyle w:val="NoSpacing"/>
              <w:jc w:val="center"/>
              <w:rPr>
                <w:rFonts w:cs="Arial"/>
                <w:b/>
              </w:rPr>
            </w:pPr>
            <w:r w:rsidRPr="00CD1DFD">
              <w:rPr>
                <w:rFonts w:cs="Arial"/>
                <w:b/>
              </w:rPr>
              <w:t>2018/19</w:t>
            </w:r>
          </w:p>
          <w:p w14:paraId="0BC8B24F" w14:textId="77777777" w:rsidR="00A32D45" w:rsidRPr="00CD1DFD" w:rsidRDefault="00A32D45" w:rsidP="00AC67F1">
            <w:pPr>
              <w:pStyle w:val="NoSpacing"/>
              <w:jc w:val="center"/>
              <w:rPr>
                <w:rFonts w:cs="Arial"/>
                <w:b/>
              </w:rPr>
            </w:pPr>
            <w:r w:rsidRPr="00CD1DFD">
              <w:rPr>
                <w:rFonts w:cs="Arial"/>
                <w:b/>
              </w:rPr>
              <w:t>£m</w:t>
            </w:r>
          </w:p>
        </w:tc>
        <w:tc>
          <w:tcPr>
            <w:tcW w:w="1342" w:type="dxa"/>
            <w:shd w:val="clear" w:color="auto" w:fill="BFBFBF" w:themeFill="background1" w:themeFillShade="BF"/>
            <w:vAlign w:val="center"/>
          </w:tcPr>
          <w:p w14:paraId="2D6D35AD" w14:textId="77777777" w:rsidR="00A32D45" w:rsidRPr="00CD1DFD" w:rsidRDefault="00A32D45" w:rsidP="00AC67F1">
            <w:pPr>
              <w:pStyle w:val="NoSpacing"/>
              <w:jc w:val="center"/>
              <w:rPr>
                <w:rFonts w:cs="Arial"/>
                <w:b/>
              </w:rPr>
            </w:pPr>
            <w:r w:rsidRPr="00CD1DFD">
              <w:rPr>
                <w:rFonts w:cs="Arial"/>
                <w:b/>
              </w:rPr>
              <w:t>2019/20</w:t>
            </w:r>
          </w:p>
          <w:p w14:paraId="51B0F16F" w14:textId="77777777" w:rsidR="00A32D45" w:rsidRPr="00CD1DFD" w:rsidRDefault="00A32D45" w:rsidP="00AC67F1">
            <w:pPr>
              <w:pStyle w:val="NoSpacing"/>
              <w:jc w:val="center"/>
              <w:rPr>
                <w:rFonts w:cs="Arial"/>
                <w:b/>
              </w:rPr>
            </w:pPr>
            <w:r w:rsidRPr="00CD1DFD">
              <w:rPr>
                <w:rFonts w:cs="Arial"/>
                <w:b/>
              </w:rPr>
              <w:t>£m</w:t>
            </w:r>
          </w:p>
        </w:tc>
        <w:tc>
          <w:tcPr>
            <w:tcW w:w="1342" w:type="dxa"/>
            <w:shd w:val="clear" w:color="auto" w:fill="BFBFBF" w:themeFill="background1" w:themeFillShade="BF"/>
            <w:vAlign w:val="center"/>
          </w:tcPr>
          <w:p w14:paraId="0C2B0306" w14:textId="77777777" w:rsidR="00A32D45" w:rsidRPr="00CD1DFD" w:rsidRDefault="00A32D45" w:rsidP="00AC67F1">
            <w:pPr>
              <w:pStyle w:val="NoSpacing"/>
              <w:jc w:val="center"/>
              <w:rPr>
                <w:rFonts w:cs="Arial"/>
                <w:b/>
              </w:rPr>
            </w:pPr>
            <w:r w:rsidRPr="00CD1DFD">
              <w:rPr>
                <w:rFonts w:cs="Arial"/>
                <w:b/>
              </w:rPr>
              <w:t>2020/21</w:t>
            </w:r>
          </w:p>
          <w:p w14:paraId="691FAC88" w14:textId="77777777" w:rsidR="00A32D45" w:rsidRPr="00CD1DFD" w:rsidRDefault="00A32D45" w:rsidP="00AC67F1">
            <w:pPr>
              <w:pStyle w:val="NoSpacing"/>
              <w:jc w:val="center"/>
              <w:rPr>
                <w:rFonts w:cs="Arial"/>
                <w:b/>
              </w:rPr>
            </w:pPr>
            <w:r w:rsidRPr="00CD1DFD">
              <w:rPr>
                <w:rFonts w:cs="Arial"/>
                <w:b/>
              </w:rPr>
              <w:t>£m</w:t>
            </w:r>
          </w:p>
        </w:tc>
      </w:tr>
      <w:tr w:rsidR="00A32D45" w:rsidRPr="00CD1DFD" w14:paraId="4680BEE2" w14:textId="77777777" w:rsidTr="00AC67F1">
        <w:trPr>
          <w:trHeight w:val="541"/>
          <w:jc w:val="center"/>
        </w:trPr>
        <w:tc>
          <w:tcPr>
            <w:tcW w:w="3823" w:type="dxa"/>
            <w:vAlign w:val="center"/>
          </w:tcPr>
          <w:p w14:paraId="295988CC" w14:textId="77777777" w:rsidR="00A32D45" w:rsidRPr="00CD1DFD" w:rsidRDefault="00A32D45" w:rsidP="00AC67F1">
            <w:pPr>
              <w:pStyle w:val="NoSpacing"/>
              <w:spacing w:line="276" w:lineRule="auto"/>
              <w:rPr>
                <w:rFonts w:cs="Arial"/>
              </w:rPr>
            </w:pPr>
            <w:r w:rsidRPr="00CD1DFD">
              <w:rPr>
                <w:rFonts w:cs="Arial"/>
              </w:rPr>
              <w:t>Top Up grant</w:t>
            </w:r>
          </w:p>
        </w:tc>
        <w:tc>
          <w:tcPr>
            <w:tcW w:w="1341" w:type="dxa"/>
            <w:vAlign w:val="center"/>
          </w:tcPr>
          <w:p w14:paraId="6AE1B3E0" w14:textId="77777777" w:rsidR="00A32D45" w:rsidRPr="00CD1DFD" w:rsidRDefault="00A32D45" w:rsidP="00AC67F1">
            <w:pPr>
              <w:pStyle w:val="NoSpacing"/>
              <w:spacing w:line="276" w:lineRule="auto"/>
              <w:jc w:val="right"/>
              <w:rPr>
                <w:rFonts w:cs="Arial"/>
              </w:rPr>
            </w:pPr>
            <w:r w:rsidRPr="00CD1DFD">
              <w:rPr>
                <w:rFonts w:cs="Arial"/>
              </w:rPr>
              <w:t>142.</w:t>
            </w:r>
            <w:r>
              <w:rPr>
                <w:rFonts w:cs="Arial"/>
              </w:rPr>
              <w:t>827</w:t>
            </w:r>
          </w:p>
        </w:tc>
        <w:tc>
          <w:tcPr>
            <w:tcW w:w="1342" w:type="dxa"/>
            <w:vAlign w:val="center"/>
          </w:tcPr>
          <w:p w14:paraId="6FBE9A4C" w14:textId="77777777" w:rsidR="00A32D45" w:rsidRPr="00CD1DFD" w:rsidRDefault="00A32D45" w:rsidP="00AC67F1">
            <w:pPr>
              <w:pStyle w:val="NoSpacing"/>
              <w:spacing w:line="276" w:lineRule="auto"/>
              <w:jc w:val="right"/>
              <w:rPr>
                <w:rFonts w:cs="Arial"/>
              </w:rPr>
            </w:pPr>
            <w:r w:rsidRPr="00CD1DFD">
              <w:rPr>
                <w:rFonts w:cs="Arial"/>
              </w:rPr>
              <w:t>147.041</w:t>
            </w:r>
          </w:p>
        </w:tc>
        <w:tc>
          <w:tcPr>
            <w:tcW w:w="1342" w:type="dxa"/>
            <w:vAlign w:val="center"/>
          </w:tcPr>
          <w:p w14:paraId="7E32549C" w14:textId="77777777" w:rsidR="00A32D45" w:rsidRPr="00CD1DFD" w:rsidRDefault="00A32D45" w:rsidP="00AC67F1">
            <w:pPr>
              <w:pStyle w:val="NoSpacing"/>
              <w:spacing w:line="276" w:lineRule="auto"/>
              <w:jc w:val="right"/>
              <w:rPr>
                <w:rFonts w:cs="Arial"/>
              </w:rPr>
            </w:pPr>
            <w:r w:rsidRPr="00CD1DFD">
              <w:rPr>
                <w:rFonts w:cs="Arial"/>
              </w:rPr>
              <w:t>151.741</w:t>
            </w:r>
          </w:p>
        </w:tc>
        <w:tc>
          <w:tcPr>
            <w:tcW w:w="1342" w:type="dxa"/>
            <w:vAlign w:val="center"/>
          </w:tcPr>
          <w:p w14:paraId="6BE4E060" w14:textId="77777777" w:rsidR="00A32D45" w:rsidRPr="00CD1DFD" w:rsidRDefault="00A32D45" w:rsidP="00AC67F1">
            <w:pPr>
              <w:pStyle w:val="NoSpacing"/>
              <w:spacing w:line="276" w:lineRule="auto"/>
              <w:jc w:val="right"/>
              <w:rPr>
                <w:rFonts w:cs="Arial"/>
              </w:rPr>
            </w:pPr>
            <w:r w:rsidRPr="00CD1DFD">
              <w:rPr>
                <w:rFonts w:cs="Arial"/>
              </w:rPr>
              <w:t>156.441</w:t>
            </w:r>
          </w:p>
        </w:tc>
      </w:tr>
      <w:tr w:rsidR="00A32D45" w:rsidRPr="00CD1DFD" w14:paraId="52268F74" w14:textId="77777777" w:rsidTr="00AC67F1">
        <w:trPr>
          <w:trHeight w:val="541"/>
          <w:jc w:val="center"/>
        </w:trPr>
        <w:tc>
          <w:tcPr>
            <w:tcW w:w="3823" w:type="dxa"/>
            <w:vAlign w:val="center"/>
          </w:tcPr>
          <w:p w14:paraId="5427AF41" w14:textId="77777777" w:rsidR="00A32D45" w:rsidRPr="00CD1DFD" w:rsidRDefault="00A32D45" w:rsidP="00AC67F1">
            <w:pPr>
              <w:pStyle w:val="NoSpacing"/>
              <w:spacing w:line="276" w:lineRule="auto"/>
              <w:rPr>
                <w:rFonts w:cs="Arial"/>
              </w:rPr>
            </w:pPr>
            <w:r w:rsidRPr="00CD1DFD">
              <w:rPr>
                <w:rFonts w:cs="Arial"/>
              </w:rPr>
              <w:t>Funding from Districts at baseline</w:t>
            </w:r>
          </w:p>
        </w:tc>
        <w:tc>
          <w:tcPr>
            <w:tcW w:w="1341" w:type="dxa"/>
            <w:vAlign w:val="center"/>
          </w:tcPr>
          <w:p w14:paraId="117B3193" w14:textId="77777777" w:rsidR="00A32D45" w:rsidRPr="00CD1DFD" w:rsidRDefault="00A32D45" w:rsidP="00AC67F1">
            <w:pPr>
              <w:pStyle w:val="NoSpacing"/>
              <w:spacing w:line="276" w:lineRule="auto"/>
              <w:jc w:val="right"/>
              <w:rPr>
                <w:rFonts w:cs="Arial"/>
              </w:rPr>
            </w:pPr>
            <w:r w:rsidRPr="00CD1DFD">
              <w:rPr>
                <w:rFonts w:cs="Arial"/>
              </w:rPr>
              <w:t>33.991</w:t>
            </w:r>
          </w:p>
        </w:tc>
        <w:tc>
          <w:tcPr>
            <w:tcW w:w="1342" w:type="dxa"/>
            <w:vAlign w:val="center"/>
          </w:tcPr>
          <w:p w14:paraId="3E298987" w14:textId="77777777" w:rsidR="00A32D45" w:rsidRPr="00CD1DFD" w:rsidRDefault="00A32D45" w:rsidP="00AC67F1">
            <w:pPr>
              <w:pStyle w:val="NoSpacing"/>
              <w:spacing w:line="276" w:lineRule="auto"/>
              <w:jc w:val="right"/>
              <w:rPr>
                <w:rFonts w:cs="Arial"/>
              </w:rPr>
            </w:pPr>
            <w:r w:rsidRPr="00CD1DFD">
              <w:rPr>
                <w:rFonts w:cs="Arial"/>
              </w:rPr>
              <w:t>34.994</w:t>
            </w:r>
          </w:p>
        </w:tc>
        <w:tc>
          <w:tcPr>
            <w:tcW w:w="1342" w:type="dxa"/>
            <w:vAlign w:val="center"/>
          </w:tcPr>
          <w:p w14:paraId="5A8DD190" w14:textId="77777777" w:rsidR="00A32D45" w:rsidRPr="00CD1DFD" w:rsidRDefault="00A32D45" w:rsidP="00AC67F1">
            <w:pPr>
              <w:pStyle w:val="NoSpacing"/>
              <w:spacing w:line="276" w:lineRule="auto"/>
              <w:jc w:val="right"/>
              <w:rPr>
                <w:rFonts w:cs="Arial"/>
              </w:rPr>
            </w:pPr>
            <w:r w:rsidRPr="00CD1DFD">
              <w:rPr>
                <w:rFonts w:cs="Arial"/>
              </w:rPr>
              <w:t>36.112</w:t>
            </w:r>
          </w:p>
        </w:tc>
        <w:tc>
          <w:tcPr>
            <w:tcW w:w="1342" w:type="dxa"/>
            <w:vAlign w:val="center"/>
          </w:tcPr>
          <w:p w14:paraId="0DAD7322" w14:textId="77777777" w:rsidR="00A32D45" w:rsidRPr="00CD1DFD" w:rsidRDefault="00A32D45" w:rsidP="00AC67F1">
            <w:pPr>
              <w:pStyle w:val="NoSpacing"/>
              <w:spacing w:line="276" w:lineRule="auto"/>
              <w:jc w:val="right"/>
              <w:rPr>
                <w:rFonts w:cs="Arial"/>
              </w:rPr>
            </w:pPr>
            <w:r w:rsidRPr="00CD1DFD">
              <w:rPr>
                <w:rFonts w:cs="Arial"/>
              </w:rPr>
              <w:t>36.542</w:t>
            </w:r>
          </w:p>
        </w:tc>
      </w:tr>
      <w:tr w:rsidR="00A32D45" w:rsidRPr="00CD1DFD" w14:paraId="1E6797BE" w14:textId="77777777" w:rsidTr="00AC67F1">
        <w:trPr>
          <w:trHeight w:val="541"/>
          <w:jc w:val="center"/>
        </w:trPr>
        <w:tc>
          <w:tcPr>
            <w:tcW w:w="3823" w:type="dxa"/>
            <w:vAlign w:val="center"/>
          </w:tcPr>
          <w:p w14:paraId="2C5A4682" w14:textId="77777777" w:rsidR="00A32D45" w:rsidRPr="00CD1DFD" w:rsidRDefault="00A32D45" w:rsidP="00AC67F1">
            <w:pPr>
              <w:pStyle w:val="NoSpacing"/>
              <w:spacing w:line="276" w:lineRule="auto"/>
              <w:rPr>
                <w:rFonts w:cs="Arial"/>
              </w:rPr>
            </w:pPr>
            <w:r w:rsidRPr="00CD1DFD">
              <w:rPr>
                <w:rFonts w:cs="Arial"/>
              </w:rPr>
              <w:t>S31 Grants</w:t>
            </w:r>
          </w:p>
        </w:tc>
        <w:tc>
          <w:tcPr>
            <w:tcW w:w="1341" w:type="dxa"/>
            <w:vAlign w:val="center"/>
          </w:tcPr>
          <w:p w14:paraId="1E4FBC40" w14:textId="77777777" w:rsidR="00A32D45" w:rsidRPr="00CD1DFD" w:rsidRDefault="00A32D45" w:rsidP="00AC67F1">
            <w:pPr>
              <w:pStyle w:val="NoSpacing"/>
              <w:spacing w:line="276" w:lineRule="auto"/>
              <w:jc w:val="right"/>
              <w:rPr>
                <w:rFonts w:cs="Arial"/>
              </w:rPr>
            </w:pPr>
            <w:r w:rsidRPr="00CD1DFD">
              <w:rPr>
                <w:rFonts w:cs="Arial"/>
              </w:rPr>
              <w:t>2.</w:t>
            </w:r>
            <w:r>
              <w:rPr>
                <w:rFonts w:cs="Arial"/>
              </w:rPr>
              <w:t>600</w:t>
            </w:r>
          </w:p>
        </w:tc>
        <w:tc>
          <w:tcPr>
            <w:tcW w:w="1342" w:type="dxa"/>
            <w:vAlign w:val="center"/>
          </w:tcPr>
          <w:p w14:paraId="73F5A09D" w14:textId="77777777" w:rsidR="00A32D45" w:rsidRPr="00CD1DFD" w:rsidRDefault="00A32D45" w:rsidP="00AC67F1">
            <w:pPr>
              <w:pStyle w:val="NoSpacing"/>
              <w:spacing w:line="276" w:lineRule="auto"/>
              <w:jc w:val="right"/>
              <w:rPr>
                <w:rFonts w:cs="Arial"/>
              </w:rPr>
            </w:pPr>
            <w:r w:rsidRPr="00CD1DFD">
              <w:rPr>
                <w:rFonts w:cs="Arial"/>
              </w:rPr>
              <w:t>3.473</w:t>
            </w:r>
          </w:p>
        </w:tc>
        <w:tc>
          <w:tcPr>
            <w:tcW w:w="1342" w:type="dxa"/>
            <w:vAlign w:val="center"/>
          </w:tcPr>
          <w:p w14:paraId="311F9E2C" w14:textId="77777777" w:rsidR="00A32D45" w:rsidRPr="00CD1DFD" w:rsidRDefault="00A32D45" w:rsidP="00AC67F1">
            <w:pPr>
              <w:pStyle w:val="NoSpacing"/>
              <w:spacing w:line="276" w:lineRule="auto"/>
              <w:jc w:val="right"/>
              <w:rPr>
                <w:rFonts w:cs="Arial"/>
              </w:rPr>
            </w:pPr>
            <w:r w:rsidRPr="00CD1DFD">
              <w:rPr>
                <w:rFonts w:cs="Arial"/>
              </w:rPr>
              <w:t>2.627</w:t>
            </w:r>
          </w:p>
        </w:tc>
        <w:tc>
          <w:tcPr>
            <w:tcW w:w="1342" w:type="dxa"/>
            <w:vAlign w:val="center"/>
          </w:tcPr>
          <w:p w14:paraId="2503D0A2" w14:textId="77777777" w:rsidR="00A32D45" w:rsidRPr="00CD1DFD" w:rsidRDefault="00A32D45" w:rsidP="00AC67F1">
            <w:pPr>
              <w:pStyle w:val="NoSpacing"/>
              <w:spacing w:line="276" w:lineRule="auto"/>
              <w:jc w:val="right"/>
              <w:rPr>
                <w:rFonts w:cs="Arial"/>
              </w:rPr>
            </w:pPr>
            <w:r w:rsidRPr="00CD1DFD">
              <w:rPr>
                <w:rFonts w:cs="Arial"/>
              </w:rPr>
              <w:t>2.586</w:t>
            </w:r>
          </w:p>
        </w:tc>
      </w:tr>
      <w:tr w:rsidR="00A32D45" w:rsidRPr="00CD1DFD" w14:paraId="217A2619" w14:textId="77777777" w:rsidTr="00AC67F1">
        <w:trPr>
          <w:trHeight w:val="541"/>
          <w:jc w:val="center"/>
        </w:trPr>
        <w:tc>
          <w:tcPr>
            <w:tcW w:w="3823" w:type="dxa"/>
            <w:vAlign w:val="center"/>
          </w:tcPr>
          <w:p w14:paraId="0735130B" w14:textId="77777777" w:rsidR="00A32D45" w:rsidRPr="00CD1DFD" w:rsidRDefault="00A32D45" w:rsidP="00AC67F1">
            <w:pPr>
              <w:pStyle w:val="NoSpacing"/>
              <w:spacing w:line="276" w:lineRule="auto"/>
              <w:jc w:val="both"/>
              <w:rPr>
                <w:rFonts w:cs="Arial"/>
                <w:b/>
              </w:rPr>
            </w:pPr>
            <w:r w:rsidRPr="00CD1DFD">
              <w:rPr>
                <w:rFonts w:cs="Arial"/>
                <w:b/>
              </w:rPr>
              <w:t>Total</w:t>
            </w:r>
          </w:p>
        </w:tc>
        <w:tc>
          <w:tcPr>
            <w:tcW w:w="1341" w:type="dxa"/>
            <w:vAlign w:val="center"/>
          </w:tcPr>
          <w:p w14:paraId="1A283742" w14:textId="77777777" w:rsidR="00A32D45" w:rsidRPr="007E7149" w:rsidRDefault="00A32D45" w:rsidP="00AC67F1">
            <w:pPr>
              <w:spacing w:line="276" w:lineRule="auto"/>
              <w:jc w:val="right"/>
              <w:rPr>
                <w:rFonts w:cs="Arial"/>
                <w:b/>
                <w:highlight w:val="yellow"/>
                <w:lang w:eastAsia="en-GB"/>
              </w:rPr>
            </w:pPr>
            <w:r w:rsidRPr="008964C9">
              <w:rPr>
                <w:rFonts w:cs="Arial"/>
                <w:b/>
                <w:lang w:eastAsia="en-GB"/>
              </w:rPr>
              <w:t>179.418</w:t>
            </w:r>
          </w:p>
        </w:tc>
        <w:tc>
          <w:tcPr>
            <w:tcW w:w="1342" w:type="dxa"/>
            <w:vAlign w:val="center"/>
          </w:tcPr>
          <w:p w14:paraId="13DCA38A" w14:textId="77777777" w:rsidR="00A32D45" w:rsidRPr="007E7149" w:rsidRDefault="00A32D45" w:rsidP="00AC67F1">
            <w:pPr>
              <w:spacing w:line="276" w:lineRule="auto"/>
              <w:jc w:val="right"/>
              <w:rPr>
                <w:rFonts w:cs="Arial"/>
                <w:b/>
                <w:highlight w:val="yellow"/>
                <w:lang w:eastAsia="en-GB"/>
              </w:rPr>
            </w:pPr>
            <w:r w:rsidRPr="00D11560">
              <w:rPr>
                <w:rFonts w:cs="Arial"/>
                <w:b/>
                <w:lang w:eastAsia="en-GB"/>
              </w:rPr>
              <w:t>185.508</w:t>
            </w:r>
          </w:p>
        </w:tc>
        <w:tc>
          <w:tcPr>
            <w:tcW w:w="1342" w:type="dxa"/>
            <w:vAlign w:val="center"/>
          </w:tcPr>
          <w:p w14:paraId="127AA054" w14:textId="77777777" w:rsidR="00A32D45" w:rsidRPr="00CD1DFD" w:rsidRDefault="00A32D45" w:rsidP="00AC67F1">
            <w:pPr>
              <w:spacing w:line="276" w:lineRule="auto"/>
              <w:jc w:val="right"/>
              <w:rPr>
                <w:rFonts w:cs="Arial"/>
                <w:b/>
                <w:lang w:eastAsia="en-GB"/>
              </w:rPr>
            </w:pPr>
            <w:r w:rsidRPr="00CD1DFD">
              <w:rPr>
                <w:rFonts w:cs="Arial"/>
                <w:b/>
                <w:lang w:eastAsia="en-GB"/>
              </w:rPr>
              <w:t>190.480</w:t>
            </w:r>
          </w:p>
        </w:tc>
        <w:tc>
          <w:tcPr>
            <w:tcW w:w="1342" w:type="dxa"/>
            <w:vAlign w:val="center"/>
          </w:tcPr>
          <w:p w14:paraId="05657D07" w14:textId="77777777" w:rsidR="00A32D45" w:rsidRPr="00CD1DFD" w:rsidRDefault="00A32D45" w:rsidP="00AC67F1">
            <w:pPr>
              <w:spacing w:line="276" w:lineRule="auto"/>
              <w:jc w:val="right"/>
              <w:rPr>
                <w:rFonts w:cs="Arial"/>
                <w:b/>
                <w:lang w:eastAsia="en-GB"/>
              </w:rPr>
            </w:pPr>
            <w:r w:rsidRPr="00CD1DFD">
              <w:rPr>
                <w:rFonts w:cs="Arial"/>
                <w:b/>
                <w:lang w:eastAsia="en-GB"/>
              </w:rPr>
              <w:t>195.569</w:t>
            </w:r>
          </w:p>
        </w:tc>
      </w:tr>
    </w:tbl>
    <w:p w14:paraId="36085111" w14:textId="7539DF7F" w:rsidR="00A32D45" w:rsidRPr="001821C9" w:rsidRDefault="00A32D45" w:rsidP="001821C9">
      <w:pPr>
        <w:spacing w:after="0"/>
        <w:rPr>
          <w:rFonts w:cs="Arial"/>
          <w:i/>
          <w:sz w:val="20"/>
          <w:szCs w:val="20"/>
        </w:rPr>
      </w:pPr>
      <w:r w:rsidRPr="001821C9">
        <w:rPr>
          <w:rFonts w:cs="Arial"/>
          <w:i/>
          <w:sz w:val="20"/>
          <w:szCs w:val="20"/>
        </w:rPr>
        <w:t>Note</w:t>
      </w:r>
      <w:r w:rsidR="001821C9">
        <w:rPr>
          <w:rFonts w:cs="Arial"/>
          <w:i/>
          <w:sz w:val="20"/>
          <w:szCs w:val="20"/>
        </w:rPr>
        <w:t>:</w:t>
      </w:r>
      <w:r w:rsidRPr="001821C9">
        <w:rPr>
          <w:rFonts w:cs="Arial"/>
          <w:i/>
          <w:sz w:val="20"/>
          <w:szCs w:val="20"/>
        </w:rPr>
        <w:t xml:space="preserve"> 2020/21 does not form part of the indicative settlement announced by the Secretary of State.</w:t>
      </w:r>
    </w:p>
    <w:p w14:paraId="099DB703" w14:textId="77777777" w:rsidR="001821C9" w:rsidRDefault="001821C9" w:rsidP="001821C9">
      <w:pPr>
        <w:spacing w:after="0"/>
        <w:rPr>
          <w:rFonts w:cs="Arial"/>
        </w:rPr>
      </w:pPr>
    </w:p>
    <w:p w14:paraId="781AB8C9" w14:textId="3837EB05" w:rsidR="00A32D45" w:rsidRDefault="00A32D45" w:rsidP="001821C9">
      <w:pPr>
        <w:spacing w:after="0"/>
        <w:rPr>
          <w:rFonts w:cs="Arial"/>
        </w:rPr>
      </w:pPr>
      <w:r w:rsidRPr="00CD1DFD">
        <w:rPr>
          <w:rFonts w:cs="Arial"/>
        </w:rPr>
        <w:t xml:space="preserve">Unless there is change in the SFA due to the economic uncertainties referred to above; the level of the top up grant between 2017/18 and 2019/20 is the best basis </w:t>
      </w:r>
      <w:r w:rsidR="001821C9">
        <w:rPr>
          <w:rFonts w:cs="Arial"/>
        </w:rPr>
        <w:t xml:space="preserve">of the forecast </w:t>
      </w:r>
      <w:r w:rsidRPr="00CD1DFD">
        <w:rPr>
          <w:rFonts w:cs="Arial"/>
        </w:rPr>
        <w:t xml:space="preserve">available for </w:t>
      </w:r>
      <w:r>
        <w:rPr>
          <w:rFonts w:cs="Arial"/>
        </w:rPr>
        <w:t xml:space="preserve">business rates </w:t>
      </w:r>
      <w:r w:rsidR="001821C9">
        <w:rPr>
          <w:rFonts w:cs="Arial"/>
        </w:rPr>
        <w:t xml:space="preserve">figures </w:t>
      </w:r>
      <w:r w:rsidRPr="00CD1DFD">
        <w:rPr>
          <w:rFonts w:cs="Arial"/>
        </w:rPr>
        <w:t>in the MTFS. There is however some degree of discretion over the locally raised amounts.</w:t>
      </w:r>
    </w:p>
    <w:p w14:paraId="0282B0DB" w14:textId="77777777" w:rsidR="001821C9" w:rsidRPr="00CD1DFD" w:rsidRDefault="001821C9" w:rsidP="001821C9">
      <w:pPr>
        <w:spacing w:after="0"/>
        <w:rPr>
          <w:rFonts w:cs="Arial"/>
        </w:rPr>
      </w:pPr>
    </w:p>
    <w:p w14:paraId="342FFF64" w14:textId="7E9CEA13" w:rsidR="00A32D45" w:rsidRDefault="00A32D45" w:rsidP="00E6630C">
      <w:pPr>
        <w:spacing w:after="0"/>
        <w:rPr>
          <w:rFonts w:cs="Arial"/>
        </w:rPr>
      </w:pPr>
      <w:r w:rsidRPr="00CD1DFD">
        <w:rPr>
          <w:rFonts w:cs="Arial"/>
        </w:rPr>
        <w:t xml:space="preserve">Under the </w:t>
      </w:r>
      <w:r w:rsidR="001821C9">
        <w:rPr>
          <w:rFonts w:cs="Arial"/>
        </w:rPr>
        <w:t xml:space="preserve">business rates </w:t>
      </w:r>
      <w:r w:rsidRPr="00CD1DFD">
        <w:rPr>
          <w:rFonts w:cs="Arial"/>
        </w:rPr>
        <w:t>system a proportion of growth above the baseline accrues to the local authorities.</w:t>
      </w:r>
      <w:r>
        <w:rPr>
          <w:rFonts w:cs="Arial"/>
        </w:rPr>
        <w:t xml:space="preserve"> </w:t>
      </w:r>
      <w:r w:rsidRPr="00CD1DFD">
        <w:rPr>
          <w:rFonts w:cs="Arial"/>
        </w:rPr>
        <w:t xml:space="preserve"> </w:t>
      </w:r>
      <w:r w:rsidR="001821C9">
        <w:rPr>
          <w:rFonts w:cs="Arial"/>
        </w:rPr>
        <w:t xml:space="preserve">As an example in </w:t>
      </w:r>
      <w:r w:rsidRPr="00CD1DFD">
        <w:rPr>
          <w:rFonts w:cs="Arial"/>
        </w:rPr>
        <w:t>2016/17 it is estimated that the County Council will receive £0.5</w:t>
      </w:r>
      <w:r w:rsidR="001821C9">
        <w:rPr>
          <w:rFonts w:cs="Arial"/>
        </w:rPr>
        <w:t>00</w:t>
      </w:r>
      <w:r w:rsidRPr="00CD1DFD">
        <w:rPr>
          <w:rFonts w:cs="Arial"/>
        </w:rPr>
        <w:t>m above the baseline amount.</w:t>
      </w:r>
      <w:r>
        <w:rPr>
          <w:rFonts w:cs="Arial"/>
        </w:rPr>
        <w:t xml:space="preserve"> </w:t>
      </w:r>
      <w:r w:rsidRPr="00CD1DFD">
        <w:rPr>
          <w:rFonts w:cs="Arial"/>
        </w:rPr>
        <w:t xml:space="preserve"> </w:t>
      </w:r>
    </w:p>
    <w:p w14:paraId="64CCE7C4" w14:textId="77777777" w:rsidR="00E6630C" w:rsidRPr="00CD1DFD" w:rsidRDefault="00E6630C" w:rsidP="00E6630C">
      <w:pPr>
        <w:spacing w:after="0"/>
        <w:rPr>
          <w:rFonts w:cs="Arial"/>
        </w:rPr>
      </w:pPr>
    </w:p>
    <w:p w14:paraId="30656949" w14:textId="4BAB4D63" w:rsidR="00A32D45" w:rsidRDefault="001821C9" w:rsidP="00E6630C">
      <w:pPr>
        <w:spacing w:after="0"/>
        <w:rPr>
          <w:rFonts w:cs="Arial"/>
        </w:rPr>
      </w:pPr>
      <w:r>
        <w:rPr>
          <w:rFonts w:cs="Arial"/>
        </w:rPr>
        <w:t>It is also possible that</w:t>
      </w:r>
      <w:r w:rsidR="00A32D45" w:rsidRPr="00CD1DFD">
        <w:rPr>
          <w:rFonts w:cs="Arial"/>
        </w:rPr>
        <w:t xml:space="preserve"> </w:t>
      </w:r>
      <w:r>
        <w:rPr>
          <w:rFonts w:cs="Arial"/>
        </w:rPr>
        <w:t xml:space="preserve">business </w:t>
      </w:r>
      <w:r w:rsidR="00A32D45" w:rsidRPr="00CD1DFD">
        <w:rPr>
          <w:rFonts w:cs="Arial"/>
        </w:rPr>
        <w:t>rate income could fall</w:t>
      </w:r>
      <w:r>
        <w:rPr>
          <w:rFonts w:cs="Arial"/>
        </w:rPr>
        <w:t xml:space="preserve">, </w:t>
      </w:r>
      <w:r w:rsidRPr="00CD1DFD">
        <w:rPr>
          <w:rFonts w:cs="Arial"/>
        </w:rPr>
        <w:t>although</w:t>
      </w:r>
      <w:r>
        <w:rPr>
          <w:rFonts w:cs="Arial"/>
        </w:rPr>
        <w:t xml:space="preserve"> there is a safety n</w:t>
      </w:r>
      <w:r w:rsidR="00A32D45" w:rsidRPr="00CD1DFD">
        <w:rPr>
          <w:rFonts w:cs="Arial"/>
        </w:rPr>
        <w:t>et within the business rates retention system which ensures that no authority’s income will fall by more than a set percentage of their original baseline funding level (and this level will be increased by RPI every year). The Safety Net percentage ha</w:t>
      </w:r>
      <w:r w:rsidR="00A32D45">
        <w:rPr>
          <w:rFonts w:cs="Arial"/>
        </w:rPr>
        <w:t xml:space="preserve">s been set at </w:t>
      </w:r>
      <w:r w:rsidR="00A32D45" w:rsidRPr="00CD1DFD">
        <w:rPr>
          <w:rFonts w:cs="Arial"/>
        </w:rPr>
        <w:t xml:space="preserve">-7.5%. </w:t>
      </w:r>
    </w:p>
    <w:p w14:paraId="79A7A7E7" w14:textId="77777777" w:rsidR="001821C9" w:rsidRPr="00CD1DFD" w:rsidRDefault="001821C9" w:rsidP="00E6630C">
      <w:pPr>
        <w:spacing w:after="0"/>
        <w:rPr>
          <w:rFonts w:cs="Arial"/>
        </w:rPr>
      </w:pPr>
    </w:p>
    <w:p w14:paraId="3D84D3B6" w14:textId="74CD754C" w:rsidR="00A32D45" w:rsidRDefault="00A32D45" w:rsidP="00E6630C">
      <w:pPr>
        <w:spacing w:after="0"/>
        <w:rPr>
          <w:rFonts w:cs="Arial"/>
        </w:rPr>
      </w:pPr>
      <w:r w:rsidRPr="00CD1DFD">
        <w:rPr>
          <w:rFonts w:cs="Arial"/>
        </w:rPr>
        <w:t>In terms of the MTFS</w:t>
      </w:r>
      <w:r>
        <w:rPr>
          <w:rFonts w:cs="Arial"/>
        </w:rPr>
        <w:t xml:space="preserve">, </w:t>
      </w:r>
      <w:r w:rsidRPr="00CD1DFD">
        <w:rPr>
          <w:rFonts w:cs="Arial"/>
        </w:rPr>
        <w:t>whether or not to add additional income is difficult to assess. There is little local information and much will depend on the general economic performance</w:t>
      </w:r>
      <w:r>
        <w:rPr>
          <w:rFonts w:cs="Arial"/>
        </w:rPr>
        <w:t xml:space="preserve"> of local areas</w:t>
      </w:r>
      <w:r w:rsidRPr="00CD1DFD">
        <w:rPr>
          <w:rFonts w:cs="Arial"/>
        </w:rPr>
        <w:t>. In addition, there are valuation appeals outstanding</w:t>
      </w:r>
      <w:r>
        <w:rPr>
          <w:rFonts w:cs="Arial"/>
        </w:rPr>
        <w:t>,</w:t>
      </w:r>
      <w:r w:rsidRPr="00CD1DFD">
        <w:rPr>
          <w:rFonts w:cs="Arial"/>
        </w:rPr>
        <w:t xml:space="preserve"> some of which are on large value properties. </w:t>
      </w:r>
      <w:r>
        <w:rPr>
          <w:rFonts w:cs="Arial"/>
        </w:rPr>
        <w:t xml:space="preserve"> </w:t>
      </w:r>
      <w:r w:rsidRPr="00CD1DFD">
        <w:rPr>
          <w:rFonts w:cs="Arial"/>
        </w:rPr>
        <w:t>If successful these will have a negative impact on the abi</w:t>
      </w:r>
      <w:r w:rsidR="009113C7">
        <w:rPr>
          <w:rFonts w:cs="Arial"/>
        </w:rPr>
        <w:t>lity to generate business rates</w:t>
      </w:r>
      <w:r w:rsidRPr="00CD1DFD">
        <w:rPr>
          <w:rFonts w:cs="Arial"/>
        </w:rPr>
        <w:t>.</w:t>
      </w:r>
    </w:p>
    <w:p w14:paraId="05C499D2" w14:textId="77777777" w:rsidR="001821C9" w:rsidRPr="00CD1DFD" w:rsidRDefault="001821C9" w:rsidP="001821C9">
      <w:pPr>
        <w:spacing w:after="0"/>
        <w:rPr>
          <w:rFonts w:cs="Arial"/>
        </w:rPr>
      </w:pPr>
    </w:p>
    <w:p w14:paraId="2BBABDD1" w14:textId="18374A64" w:rsidR="00A32D45" w:rsidRDefault="00A32D45" w:rsidP="001821C9">
      <w:pPr>
        <w:spacing w:after="0"/>
        <w:rPr>
          <w:rFonts w:cs="Arial"/>
        </w:rPr>
      </w:pPr>
      <w:r w:rsidRPr="00CD1DFD">
        <w:rPr>
          <w:rFonts w:cs="Arial"/>
        </w:rPr>
        <w:t>The baseline data already assume</w:t>
      </w:r>
      <w:r>
        <w:rPr>
          <w:rFonts w:cs="Arial"/>
        </w:rPr>
        <w:t>s</w:t>
      </w:r>
      <w:r w:rsidRPr="00CD1DFD">
        <w:rPr>
          <w:rFonts w:cs="Arial"/>
        </w:rPr>
        <w:t xml:space="preserve"> an increase in income derived from local business rates. Therefore given the economic uncertainty</w:t>
      </w:r>
      <w:r w:rsidR="009113C7">
        <w:rPr>
          <w:rFonts w:cs="Arial"/>
        </w:rPr>
        <w:t xml:space="preserve"> forecast income has been </w:t>
      </w:r>
      <w:r w:rsidRPr="00CD1DFD">
        <w:rPr>
          <w:rFonts w:cs="Arial"/>
        </w:rPr>
        <w:t>maintain</w:t>
      </w:r>
      <w:r w:rsidR="009113C7">
        <w:rPr>
          <w:rFonts w:cs="Arial"/>
        </w:rPr>
        <w:t xml:space="preserve">ed at </w:t>
      </w:r>
      <w:r w:rsidRPr="00CD1DFD">
        <w:rPr>
          <w:rFonts w:cs="Arial"/>
        </w:rPr>
        <w:t xml:space="preserve">the baseline funding </w:t>
      </w:r>
      <w:r w:rsidR="009113C7">
        <w:rPr>
          <w:rFonts w:cs="Arial"/>
        </w:rPr>
        <w:t>level</w:t>
      </w:r>
      <w:r w:rsidRPr="00CD1DFD">
        <w:rPr>
          <w:rFonts w:cs="Arial"/>
        </w:rPr>
        <w:t>.</w:t>
      </w:r>
    </w:p>
    <w:p w14:paraId="624DD25F" w14:textId="77777777" w:rsidR="001821C9" w:rsidRPr="00CD1DFD" w:rsidRDefault="001821C9" w:rsidP="001821C9">
      <w:pPr>
        <w:spacing w:after="0"/>
        <w:rPr>
          <w:rFonts w:cs="Arial"/>
        </w:rPr>
      </w:pPr>
    </w:p>
    <w:p w14:paraId="3610C674" w14:textId="2D62A870" w:rsidR="00A32D45" w:rsidRDefault="00A32D45" w:rsidP="001821C9">
      <w:pPr>
        <w:spacing w:after="0"/>
        <w:rPr>
          <w:rFonts w:cs="Arial"/>
        </w:rPr>
      </w:pPr>
      <w:r w:rsidRPr="00CD1DFD">
        <w:rPr>
          <w:rFonts w:cs="Arial"/>
        </w:rPr>
        <w:t xml:space="preserve">In </w:t>
      </w:r>
      <w:r w:rsidR="001821C9">
        <w:rPr>
          <w:rFonts w:cs="Arial"/>
        </w:rPr>
        <w:t xml:space="preserve">2015/16 </w:t>
      </w:r>
      <w:r w:rsidRPr="00CD1DFD">
        <w:rPr>
          <w:rFonts w:cs="Arial"/>
        </w:rPr>
        <w:t xml:space="preserve">the Government compensated authorities for the cost of a number of measures introduced by the Government. These </w:t>
      </w:r>
      <w:r w:rsidR="001821C9">
        <w:rPr>
          <w:rFonts w:cs="Arial"/>
        </w:rPr>
        <w:t>were</w:t>
      </w:r>
      <w:r w:rsidRPr="00CD1DFD">
        <w:rPr>
          <w:rFonts w:cs="Arial"/>
        </w:rPr>
        <w:t xml:space="preserve"> the multiplier cap, the temporary doubling of small business rates relief, the temporary maintenance of small business rate relief when a second property is occupied, relief given to newly built properties whilst they are empty (herein after referred to as “new empty” property relief), relief given to long-term empty property brought into occupation (“long-term empty relief”), retail relief, flooding relief and payments made in lieu of transitional relief. Compensation is provided </w:t>
      </w:r>
      <w:r>
        <w:rPr>
          <w:rFonts w:cs="Arial"/>
        </w:rPr>
        <w:t>by means of a grant paid under S</w:t>
      </w:r>
      <w:r w:rsidRPr="00CD1DFD">
        <w:rPr>
          <w:rFonts w:cs="Arial"/>
        </w:rPr>
        <w:t xml:space="preserve">ection 31 of the Local Government Act 2003 and the County Council has been notified that its S31 grant in 2016/17 is £3.992m. There is no information in respect of future years but the main elements of the grant relate to the multiplier cap and the doubling of the small business rate relief. </w:t>
      </w:r>
    </w:p>
    <w:p w14:paraId="1335C8E1" w14:textId="77777777" w:rsidR="001821C9" w:rsidRPr="00CD1DFD" w:rsidRDefault="001821C9" w:rsidP="001821C9">
      <w:pPr>
        <w:spacing w:after="0"/>
        <w:rPr>
          <w:rFonts w:cs="Arial"/>
        </w:rPr>
      </w:pPr>
    </w:p>
    <w:p w14:paraId="2999C571" w14:textId="24FE4D4E" w:rsidR="00DE650E" w:rsidRDefault="00A32D45" w:rsidP="001821C9">
      <w:pPr>
        <w:spacing w:after="0"/>
        <w:rPr>
          <w:rFonts w:cs="Arial"/>
        </w:rPr>
      </w:pPr>
      <w:r w:rsidRPr="00CD1DFD">
        <w:rPr>
          <w:rFonts w:cs="Arial"/>
        </w:rPr>
        <w:t>Assuming that the reliefs continue the impact of the multiplier cap is likely to rise with inflation as without the cap the income would have increased. Other reliefs are more likely to relate to the change in the business rate base.</w:t>
      </w:r>
      <w:r w:rsidR="008A5C96">
        <w:rPr>
          <w:rFonts w:cs="Arial"/>
        </w:rPr>
        <w:t xml:space="preserve"> It has been assumed that the level of S31 grants is maintained at the current level</w:t>
      </w:r>
      <w:r w:rsidRPr="00CD1DFD">
        <w:rPr>
          <w:rFonts w:cs="Arial"/>
        </w:rPr>
        <w:t>.</w:t>
      </w:r>
    </w:p>
    <w:p w14:paraId="0784E38E" w14:textId="77777777" w:rsidR="00DE650E" w:rsidRDefault="00DE650E" w:rsidP="001821C9">
      <w:pPr>
        <w:spacing w:after="0"/>
        <w:rPr>
          <w:rFonts w:cs="Arial"/>
        </w:rPr>
      </w:pPr>
    </w:p>
    <w:p w14:paraId="3C9A2D94" w14:textId="5A7BD73C" w:rsidR="00A32D45" w:rsidRDefault="004C00D2" w:rsidP="001821C9">
      <w:pPr>
        <w:spacing w:after="0"/>
        <w:rPr>
          <w:rFonts w:cs="Arial"/>
        </w:rPr>
      </w:pPr>
      <w:r>
        <w:rPr>
          <w:rFonts w:cs="Arial"/>
        </w:rPr>
        <w:t>Overall</w:t>
      </w:r>
      <w:r w:rsidR="00A32D45" w:rsidRPr="00CD1DFD">
        <w:rPr>
          <w:rFonts w:cs="Arial"/>
        </w:rPr>
        <w:t xml:space="preserve"> the </w:t>
      </w:r>
      <w:r w:rsidR="00DE650E">
        <w:rPr>
          <w:rFonts w:cs="Arial"/>
        </w:rPr>
        <w:t>increase in</w:t>
      </w:r>
      <w:r w:rsidR="00DE650E" w:rsidRPr="00CD1DFD">
        <w:rPr>
          <w:rFonts w:cs="Arial"/>
        </w:rPr>
        <w:t xml:space="preserve"> </w:t>
      </w:r>
      <w:r w:rsidR="00A32D45" w:rsidRPr="00CD1DFD">
        <w:rPr>
          <w:rFonts w:cs="Arial"/>
        </w:rPr>
        <w:t>forecast</w:t>
      </w:r>
      <w:r w:rsidR="00DE650E">
        <w:rPr>
          <w:rFonts w:cs="Arial"/>
        </w:rPr>
        <w:t>ed</w:t>
      </w:r>
      <w:r w:rsidR="00A32D45" w:rsidRPr="00CD1DFD">
        <w:rPr>
          <w:rFonts w:cs="Arial"/>
        </w:rPr>
        <w:t xml:space="preserve"> income </w:t>
      </w:r>
      <w:r w:rsidR="00DE650E">
        <w:rPr>
          <w:rFonts w:cs="Arial"/>
        </w:rPr>
        <w:t xml:space="preserve">from business rates is </w:t>
      </w:r>
      <w:r w:rsidR="00A32D45" w:rsidRPr="00CD1DFD">
        <w:rPr>
          <w:rFonts w:cs="Arial"/>
        </w:rPr>
        <w:t>as follows:</w:t>
      </w:r>
    </w:p>
    <w:p w14:paraId="7C579913" w14:textId="77777777" w:rsidR="008676D4" w:rsidRPr="00CD1DFD" w:rsidRDefault="008676D4" w:rsidP="001821C9">
      <w:pPr>
        <w:spacing w:after="0"/>
        <w:rPr>
          <w:rFonts w:cs="Arial"/>
        </w:rPr>
      </w:pPr>
    </w:p>
    <w:tbl>
      <w:tblPr>
        <w:tblStyle w:val="TableGrid"/>
        <w:tblW w:w="0" w:type="auto"/>
        <w:jc w:val="center"/>
        <w:tblLook w:val="04A0" w:firstRow="1" w:lastRow="0" w:firstColumn="1" w:lastColumn="0" w:noHBand="0" w:noVBand="1"/>
      </w:tblPr>
      <w:tblGrid>
        <w:gridCol w:w="2021"/>
        <w:gridCol w:w="1590"/>
        <w:gridCol w:w="1771"/>
      </w:tblGrid>
      <w:tr w:rsidR="008A5C96" w14:paraId="722C2F3C" w14:textId="60B4B4CD" w:rsidTr="008A5C96">
        <w:trPr>
          <w:trHeight w:val="295"/>
          <w:jc w:val="center"/>
        </w:trPr>
        <w:tc>
          <w:tcPr>
            <w:tcW w:w="2021" w:type="dxa"/>
            <w:shd w:val="clear" w:color="auto" w:fill="A6A6A6" w:themeFill="background1" w:themeFillShade="A6"/>
          </w:tcPr>
          <w:p w14:paraId="01D34DA7" w14:textId="77777777" w:rsidR="008A5C96" w:rsidRDefault="008A5C96" w:rsidP="00AC67F1">
            <w:pPr>
              <w:rPr>
                <w:rFonts w:cs="Arial"/>
              </w:rPr>
            </w:pPr>
          </w:p>
        </w:tc>
        <w:tc>
          <w:tcPr>
            <w:tcW w:w="1590" w:type="dxa"/>
            <w:shd w:val="clear" w:color="auto" w:fill="A6A6A6" w:themeFill="background1" w:themeFillShade="A6"/>
          </w:tcPr>
          <w:p w14:paraId="2256ACB4" w14:textId="77777777" w:rsidR="008A5C96" w:rsidRPr="00CD1DFD" w:rsidRDefault="008A5C96" w:rsidP="00AC67F1">
            <w:pPr>
              <w:jc w:val="center"/>
              <w:rPr>
                <w:rFonts w:cs="Arial"/>
                <w:b/>
              </w:rPr>
            </w:pPr>
            <w:r w:rsidRPr="00CD1DFD">
              <w:rPr>
                <w:rFonts w:cs="Arial"/>
                <w:b/>
              </w:rPr>
              <w:t>£m</w:t>
            </w:r>
          </w:p>
        </w:tc>
        <w:tc>
          <w:tcPr>
            <w:tcW w:w="1771" w:type="dxa"/>
            <w:shd w:val="clear" w:color="auto" w:fill="A6A6A6" w:themeFill="background1" w:themeFillShade="A6"/>
          </w:tcPr>
          <w:p w14:paraId="0F88F591" w14:textId="75BE7803" w:rsidR="008A5C96" w:rsidRPr="00CD1DFD" w:rsidRDefault="008A5C96" w:rsidP="00AC67F1">
            <w:pPr>
              <w:jc w:val="center"/>
              <w:rPr>
                <w:rFonts w:cs="Arial"/>
                <w:b/>
              </w:rPr>
            </w:pPr>
            <w:r>
              <w:rPr>
                <w:rFonts w:cs="Arial"/>
                <w:b/>
              </w:rPr>
              <w:t xml:space="preserve">Year on Year change (£m) </w:t>
            </w:r>
          </w:p>
        </w:tc>
      </w:tr>
      <w:tr w:rsidR="008A5C96" w14:paraId="7EBED558" w14:textId="14416E08" w:rsidTr="008A5C96">
        <w:trPr>
          <w:trHeight w:val="295"/>
          <w:jc w:val="center"/>
        </w:trPr>
        <w:tc>
          <w:tcPr>
            <w:tcW w:w="2021" w:type="dxa"/>
          </w:tcPr>
          <w:p w14:paraId="241D0A55" w14:textId="77777777" w:rsidR="008A5C96" w:rsidRPr="00AE330D" w:rsidRDefault="008A5C96" w:rsidP="00AC67F1">
            <w:pPr>
              <w:rPr>
                <w:rFonts w:cs="Arial"/>
              </w:rPr>
            </w:pPr>
            <w:r>
              <w:rPr>
                <w:rFonts w:cs="Arial"/>
              </w:rPr>
              <w:t xml:space="preserve">2017/18        </w:t>
            </w:r>
          </w:p>
        </w:tc>
        <w:tc>
          <w:tcPr>
            <w:tcW w:w="1590" w:type="dxa"/>
          </w:tcPr>
          <w:p w14:paraId="09222A56" w14:textId="77777777" w:rsidR="008A5C96" w:rsidRPr="00AE330D" w:rsidRDefault="008A5C96" w:rsidP="00AC67F1">
            <w:pPr>
              <w:jc w:val="right"/>
              <w:rPr>
                <w:rFonts w:cs="Arial"/>
              </w:rPr>
            </w:pPr>
            <w:r w:rsidRPr="00AE330D">
              <w:rPr>
                <w:rFonts w:cs="Arial"/>
              </w:rPr>
              <w:t>1.443</w:t>
            </w:r>
          </w:p>
        </w:tc>
        <w:tc>
          <w:tcPr>
            <w:tcW w:w="1771" w:type="dxa"/>
          </w:tcPr>
          <w:p w14:paraId="2D26DEC8" w14:textId="07570DC8" w:rsidR="008A5C96" w:rsidRPr="00AE330D" w:rsidRDefault="008A5C96" w:rsidP="00AC67F1">
            <w:pPr>
              <w:jc w:val="right"/>
              <w:rPr>
                <w:rFonts w:cs="Arial"/>
              </w:rPr>
            </w:pPr>
            <w:r>
              <w:rPr>
                <w:rFonts w:cs="Arial"/>
              </w:rPr>
              <w:t>1.443</w:t>
            </w:r>
          </w:p>
        </w:tc>
      </w:tr>
      <w:tr w:rsidR="008A5C96" w14:paraId="1477FE05" w14:textId="473D6923" w:rsidTr="008A5C96">
        <w:trPr>
          <w:trHeight w:val="295"/>
          <w:jc w:val="center"/>
        </w:trPr>
        <w:tc>
          <w:tcPr>
            <w:tcW w:w="2021" w:type="dxa"/>
          </w:tcPr>
          <w:p w14:paraId="7A0B8255" w14:textId="77777777" w:rsidR="008A5C96" w:rsidRPr="00AE330D" w:rsidRDefault="008A5C96" w:rsidP="00AC67F1">
            <w:pPr>
              <w:rPr>
                <w:rFonts w:cs="Arial"/>
              </w:rPr>
            </w:pPr>
            <w:r>
              <w:rPr>
                <w:rFonts w:cs="Arial"/>
              </w:rPr>
              <w:t xml:space="preserve">2018/19        </w:t>
            </w:r>
          </w:p>
        </w:tc>
        <w:tc>
          <w:tcPr>
            <w:tcW w:w="1590" w:type="dxa"/>
          </w:tcPr>
          <w:p w14:paraId="2693F057" w14:textId="77777777" w:rsidR="008A5C96" w:rsidRPr="00AE330D" w:rsidRDefault="008A5C96" w:rsidP="00AC67F1">
            <w:pPr>
              <w:jc w:val="right"/>
              <w:rPr>
                <w:rFonts w:cs="Arial"/>
              </w:rPr>
            </w:pPr>
            <w:r w:rsidRPr="00AE330D">
              <w:rPr>
                <w:rFonts w:cs="Arial"/>
              </w:rPr>
              <w:t>0.633</w:t>
            </w:r>
          </w:p>
        </w:tc>
        <w:tc>
          <w:tcPr>
            <w:tcW w:w="1771" w:type="dxa"/>
          </w:tcPr>
          <w:p w14:paraId="19F72C53" w14:textId="270EF005" w:rsidR="008A5C96" w:rsidRPr="00AE330D" w:rsidRDefault="008A5C96" w:rsidP="00AC67F1">
            <w:pPr>
              <w:jc w:val="right"/>
              <w:rPr>
                <w:rFonts w:cs="Arial"/>
              </w:rPr>
            </w:pPr>
            <w:r>
              <w:rPr>
                <w:rFonts w:cs="Arial"/>
              </w:rPr>
              <w:t>-0.810</w:t>
            </w:r>
          </w:p>
        </w:tc>
      </w:tr>
      <w:tr w:rsidR="008A5C96" w14:paraId="3B6B12D6" w14:textId="3A6C2001" w:rsidTr="008A5C96">
        <w:trPr>
          <w:trHeight w:val="295"/>
          <w:jc w:val="center"/>
        </w:trPr>
        <w:tc>
          <w:tcPr>
            <w:tcW w:w="2021" w:type="dxa"/>
          </w:tcPr>
          <w:p w14:paraId="5A58B312" w14:textId="77777777" w:rsidR="008A5C96" w:rsidRPr="00AE330D" w:rsidRDefault="008A5C96" w:rsidP="00AC67F1">
            <w:pPr>
              <w:rPr>
                <w:rFonts w:cs="Arial"/>
              </w:rPr>
            </w:pPr>
            <w:r>
              <w:rPr>
                <w:rFonts w:cs="Arial"/>
              </w:rPr>
              <w:t xml:space="preserve">2019/20        </w:t>
            </w:r>
          </w:p>
        </w:tc>
        <w:tc>
          <w:tcPr>
            <w:tcW w:w="1590" w:type="dxa"/>
          </w:tcPr>
          <w:p w14:paraId="17DAAEA8" w14:textId="77777777" w:rsidR="008A5C96" w:rsidRPr="00AE330D" w:rsidRDefault="008A5C96" w:rsidP="00AC67F1">
            <w:pPr>
              <w:jc w:val="right"/>
              <w:rPr>
                <w:rFonts w:cs="Arial"/>
              </w:rPr>
            </w:pPr>
            <w:r w:rsidRPr="00AE330D">
              <w:rPr>
                <w:rFonts w:cs="Arial"/>
              </w:rPr>
              <w:t>1.558</w:t>
            </w:r>
          </w:p>
        </w:tc>
        <w:tc>
          <w:tcPr>
            <w:tcW w:w="1771" w:type="dxa"/>
          </w:tcPr>
          <w:p w14:paraId="61149483" w14:textId="28F92F43" w:rsidR="008A5C96" w:rsidRPr="00AE330D" w:rsidRDefault="008A5C96" w:rsidP="00AC67F1">
            <w:pPr>
              <w:jc w:val="right"/>
              <w:rPr>
                <w:rFonts w:cs="Arial"/>
              </w:rPr>
            </w:pPr>
            <w:r>
              <w:rPr>
                <w:rFonts w:cs="Arial"/>
              </w:rPr>
              <w:t>0.925</w:t>
            </w:r>
          </w:p>
        </w:tc>
      </w:tr>
      <w:tr w:rsidR="008A5C96" w14:paraId="2C64E235" w14:textId="6D9250BC" w:rsidTr="008A5C96">
        <w:trPr>
          <w:trHeight w:val="295"/>
          <w:jc w:val="center"/>
        </w:trPr>
        <w:tc>
          <w:tcPr>
            <w:tcW w:w="2021" w:type="dxa"/>
          </w:tcPr>
          <w:p w14:paraId="15BE713D" w14:textId="77777777" w:rsidR="008A5C96" w:rsidRPr="00AE330D" w:rsidRDefault="008A5C96" w:rsidP="00AC67F1">
            <w:pPr>
              <w:rPr>
                <w:rFonts w:cs="Arial"/>
              </w:rPr>
            </w:pPr>
            <w:r>
              <w:rPr>
                <w:rFonts w:cs="Arial"/>
              </w:rPr>
              <w:t xml:space="preserve">2020/21        </w:t>
            </w:r>
          </w:p>
        </w:tc>
        <w:tc>
          <w:tcPr>
            <w:tcW w:w="1590" w:type="dxa"/>
          </w:tcPr>
          <w:p w14:paraId="460AEE4D" w14:textId="77777777" w:rsidR="008A5C96" w:rsidRPr="00AE330D" w:rsidRDefault="008A5C96" w:rsidP="00AC67F1">
            <w:pPr>
              <w:jc w:val="right"/>
              <w:rPr>
                <w:rFonts w:cs="Arial"/>
              </w:rPr>
            </w:pPr>
            <w:r w:rsidRPr="00AE330D">
              <w:rPr>
                <w:rFonts w:cs="Arial"/>
              </w:rPr>
              <w:t>1.686</w:t>
            </w:r>
          </w:p>
        </w:tc>
        <w:tc>
          <w:tcPr>
            <w:tcW w:w="1771" w:type="dxa"/>
          </w:tcPr>
          <w:p w14:paraId="213032C3" w14:textId="7A96D42F" w:rsidR="008A5C96" w:rsidRPr="00AE330D" w:rsidRDefault="008A5C96" w:rsidP="00AC67F1">
            <w:pPr>
              <w:jc w:val="right"/>
              <w:rPr>
                <w:rFonts w:cs="Arial"/>
              </w:rPr>
            </w:pPr>
            <w:r>
              <w:rPr>
                <w:rFonts w:cs="Arial"/>
              </w:rPr>
              <w:t>0.128</w:t>
            </w:r>
          </w:p>
        </w:tc>
      </w:tr>
    </w:tbl>
    <w:p w14:paraId="3546C3C0" w14:textId="77777777" w:rsidR="00A32D45" w:rsidRPr="00CD1DFD" w:rsidRDefault="00A32D45" w:rsidP="00A32D45">
      <w:pPr>
        <w:rPr>
          <w:rFonts w:cs="Arial"/>
        </w:rPr>
      </w:pPr>
    </w:p>
    <w:p w14:paraId="36231360" w14:textId="1E937624" w:rsidR="00A32D45" w:rsidRDefault="00A32D45" w:rsidP="00A32D45">
      <w:pPr>
        <w:rPr>
          <w:rFonts w:cs="Arial"/>
        </w:rPr>
      </w:pPr>
      <w:r w:rsidRPr="00CD1DFD">
        <w:rPr>
          <w:rFonts w:cs="Arial"/>
        </w:rPr>
        <w:t>The final aspect of the business rate forecast is the pooling arrangement. The 2016/17 budget includes an additional £0.4</w:t>
      </w:r>
      <w:r w:rsidR="00D81A94">
        <w:rPr>
          <w:rFonts w:cs="Arial"/>
        </w:rPr>
        <w:t>00</w:t>
      </w:r>
      <w:r w:rsidRPr="00CD1DFD">
        <w:rPr>
          <w:rFonts w:cs="Arial"/>
        </w:rPr>
        <w:t>m due from the pooling arrangement. The pool is a one year arrangement. Clearly, it is possible that it could be extended for future year(s). This will largely depend on t</w:t>
      </w:r>
      <w:r w:rsidR="003F76DE">
        <w:rPr>
          <w:rFonts w:cs="Arial"/>
        </w:rPr>
        <w:t xml:space="preserve">he willingness of the District Councils </w:t>
      </w:r>
      <w:r w:rsidRPr="00CD1DFD">
        <w:rPr>
          <w:rFonts w:cs="Arial"/>
        </w:rPr>
        <w:t>to continue to</w:t>
      </w:r>
      <w:r w:rsidR="008676D4">
        <w:rPr>
          <w:rFonts w:cs="Arial"/>
        </w:rPr>
        <w:t xml:space="preserve"> participate. A key risk for</w:t>
      </w:r>
      <w:r w:rsidRPr="00CD1DFD">
        <w:rPr>
          <w:rFonts w:cs="Arial"/>
        </w:rPr>
        <w:t xml:space="preserve"> District</w:t>
      </w:r>
      <w:r w:rsidR="008676D4">
        <w:rPr>
          <w:rFonts w:cs="Arial"/>
        </w:rPr>
        <w:t xml:space="preserve"> Councils</w:t>
      </w:r>
      <w:r w:rsidRPr="00CD1DFD">
        <w:rPr>
          <w:rFonts w:cs="Arial"/>
        </w:rPr>
        <w:t xml:space="preserve"> is the possibility of losing the safety net as a result of being in a pool. </w:t>
      </w:r>
      <w:r w:rsidR="003F76DE" w:rsidRPr="00CD1DFD">
        <w:rPr>
          <w:rFonts w:cs="Arial"/>
        </w:rPr>
        <w:t xml:space="preserve">The current MTFS currently excludes the impact of the pool but </w:t>
      </w:r>
      <w:r w:rsidR="003F76DE">
        <w:rPr>
          <w:rFonts w:cs="Arial"/>
        </w:rPr>
        <w:t xml:space="preserve">will be reviewed and updated once the position on the continuation of pooling arrangements beyond 2016/17 is known.  </w:t>
      </w:r>
    </w:p>
    <w:p w14:paraId="39718433" w14:textId="77777777" w:rsidR="00DE650E" w:rsidRPr="00CD1DFD" w:rsidRDefault="00DE650E" w:rsidP="00A32D45">
      <w:pPr>
        <w:rPr>
          <w:rFonts w:cs="Arial"/>
        </w:rPr>
      </w:pPr>
    </w:p>
    <w:p w14:paraId="7AAB0AD6" w14:textId="77777777" w:rsidR="00A32D45" w:rsidRDefault="00A32D45" w:rsidP="008676D4">
      <w:pPr>
        <w:spacing w:after="0"/>
        <w:rPr>
          <w:rFonts w:cs="Arial"/>
          <w:b/>
          <w:u w:val="single"/>
        </w:rPr>
      </w:pPr>
      <w:r w:rsidRPr="00641AE3">
        <w:rPr>
          <w:rFonts w:cs="Arial"/>
          <w:b/>
          <w:u w:val="single"/>
        </w:rPr>
        <w:t>Council Tax</w:t>
      </w:r>
    </w:p>
    <w:p w14:paraId="42854D60" w14:textId="77777777" w:rsidR="008676D4" w:rsidRPr="00641AE3" w:rsidRDefault="008676D4" w:rsidP="008676D4">
      <w:pPr>
        <w:spacing w:after="0"/>
        <w:rPr>
          <w:rFonts w:cs="Arial"/>
          <w:b/>
          <w:u w:val="single"/>
        </w:rPr>
      </w:pPr>
    </w:p>
    <w:p w14:paraId="1047B6DC" w14:textId="4D2C010B" w:rsidR="003F76DE" w:rsidRDefault="003F76DE" w:rsidP="003F76DE">
      <w:pPr>
        <w:spacing w:after="0"/>
        <w:rPr>
          <w:rFonts w:cs="Arial"/>
        </w:rPr>
      </w:pPr>
      <w:r w:rsidRPr="00CD1DFD">
        <w:rPr>
          <w:rFonts w:cs="Arial"/>
        </w:rPr>
        <w:t xml:space="preserve">The MTFS </w:t>
      </w:r>
      <w:r>
        <w:rPr>
          <w:rFonts w:cs="Arial"/>
        </w:rPr>
        <w:t xml:space="preserve">previously </w:t>
      </w:r>
      <w:r w:rsidRPr="00CD1DFD">
        <w:rPr>
          <w:rFonts w:cs="Arial"/>
        </w:rPr>
        <w:t>d</w:t>
      </w:r>
      <w:r>
        <w:rPr>
          <w:rFonts w:cs="Arial"/>
        </w:rPr>
        <w:t>id</w:t>
      </w:r>
      <w:r w:rsidRPr="00CD1DFD">
        <w:rPr>
          <w:rFonts w:cs="Arial"/>
        </w:rPr>
        <w:t xml:space="preserve"> not include any provision for an increase in Council Tax for 2017/18 a</w:t>
      </w:r>
      <w:r w:rsidR="008A5C96">
        <w:rPr>
          <w:rFonts w:cs="Arial"/>
        </w:rPr>
        <w:t>nd beyond. With respect to the C</w:t>
      </w:r>
      <w:r w:rsidRPr="00CD1DFD">
        <w:rPr>
          <w:rFonts w:cs="Arial"/>
        </w:rPr>
        <w:t xml:space="preserve">ouncil Tax the </w:t>
      </w:r>
      <w:r>
        <w:rPr>
          <w:rFonts w:cs="Arial"/>
        </w:rPr>
        <w:t xml:space="preserve">position now built into the MTFS is </w:t>
      </w:r>
      <w:r w:rsidRPr="00CD1DFD">
        <w:rPr>
          <w:rFonts w:cs="Arial"/>
        </w:rPr>
        <w:t>that</w:t>
      </w:r>
      <w:r w:rsidR="008A5C96">
        <w:rPr>
          <w:rFonts w:cs="Arial"/>
        </w:rPr>
        <w:t>,</w:t>
      </w:r>
      <w:r w:rsidRPr="00CD1DFD">
        <w:rPr>
          <w:rFonts w:cs="Arial"/>
        </w:rPr>
        <w:t xml:space="preserve"> due to the size of the funding gap</w:t>
      </w:r>
      <w:r w:rsidR="008A5C96">
        <w:rPr>
          <w:rFonts w:cs="Arial"/>
        </w:rPr>
        <w:t>, an assumption that</w:t>
      </w:r>
      <w:r w:rsidRPr="00CD1DFD">
        <w:rPr>
          <w:rFonts w:cs="Arial"/>
        </w:rPr>
        <w:t xml:space="preserve"> Council Tax would </w:t>
      </w:r>
      <w:r w:rsidRPr="00CD1DFD">
        <w:rPr>
          <w:rFonts w:cs="Arial"/>
        </w:rPr>
        <w:lastRenderedPageBreak/>
        <w:t>increase by 3.99% per annum which is the current referendum limit; although</w:t>
      </w:r>
      <w:r>
        <w:rPr>
          <w:rFonts w:cs="Arial"/>
        </w:rPr>
        <w:t xml:space="preserve"> it is important to note that</w:t>
      </w:r>
      <w:r w:rsidRPr="00CD1DFD">
        <w:rPr>
          <w:rFonts w:cs="Arial"/>
        </w:rPr>
        <w:t xml:space="preserve"> this has not been confirmed for future years. </w:t>
      </w:r>
    </w:p>
    <w:p w14:paraId="2A3EC61A" w14:textId="77777777" w:rsidR="003F76DE" w:rsidRPr="00CD1DFD" w:rsidRDefault="003F76DE" w:rsidP="003F76DE">
      <w:pPr>
        <w:spacing w:after="0"/>
        <w:rPr>
          <w:rFonts w:cs="Arial"/>
        </w:rPr>
      </w:pPr>
    </w:p>
    <w:p w14:paraId="4542A56B" w14:textId="60A90C74" w:rsidR="003F76DE" w:rsidRDefault="003F76DE" w:rsidP="003F76DE">
      <w:pPr>
        <w:spacing w:after="0"/>
        <w:rPr>
          <w:rFonts w:cs="Arial"/>
        </w:rPr>
      </w:pPr>
      <w:r w:rsidRPr="00CD1DFD">
        <w:rPr>
          <w:rFonts w:cs="Arial"/>
        </w:rPr>
        <w:t>The</w:t>
      </w:r>
      <w:r>
        <w:rPr>
          <w:rFonts w:cs="Arial"/>
        </w:rPr>
        <w:t xml:space="preserve"> MTFS</w:t>
      </w:r>
      <w:r w:rsidRPr="00CD1DFD">
        <w:rPr>
          <w:rFonts w:cs="Arial"/>
        </w:rPr>
        <w:t xml:space="preserve"> </w:t>
      </w:r>
      <w:r w:rsidR="00DE650E">
        <w:rPr>
          <w:rFonts w:cs="Arial"/>
        </w:rPr>
        <w:t>last presented to Cabinet assumed</w:t>
      </w:r>
      <w:r w:rsidRPr="00CD1DFD">
        <w:rPr>
          <w:rFonts w:cs="Arial"/>
        </w:rPr>
        <w:t xml:space="preserve"> a small percentage increase in the tax base of between 0.25% and 0.56% per annum.</w:t>
      </w:r>
    </w:p>
    <w:p w14:paraId="06317E4F" w14:textId="77777777" w:rsidR="008676D4" w:rsidRDefault="008676D4" w:rsidP="008676D4">
      <w:pPr>
        <w:spacing w:after="0"/>
        <w:rPr>
          <w:rFonts w:cs="Arial"/>
        </w:rPr>
      </w:pPr>
    </w:p>
    <w:p w14:paraId="2C4EA299" w14:textId="63DF3CEF" w:rsidR="00A32D45" w:rsidRDefault="00A32D45" w:rsidP="008676D4">
      <w:pPr>
        <w:spacing w:after="0"/>
        <w:rPr>
          <w:rFonts w:cs="Arial"/>
        </w:rPr>
      </w:pPr>
      <w:r w:rsidRPr="00CD1DFD">
        <w:rPr>
          <w:rFonts w:cs="Arial"/>
        </w:rPr>
        <w:t>The tax base growth will increase in relation to the number of new properties but any growth will also be offset by the reliefs and assumed collection rates. So like the business rates the overall economic picture would have an impact on the forecast. Recent tax base data are:</w:t>
      </w:r>
    </w:p>
    <w:p w14:paraId="5FC09D60" w14:textId="77777777" w:rsidR="00A32D45" w:rsidRPr="00CD1DFD" w:rsidRDefault="00A32D45" w:rsidP="00A32D45">
      <w:pPr>
        <w:rPr>
          <w:rFonts w:cs="Arial"/>
        </w:rPr>
      </w:pPr>
    </w:p>
    <w:tbl>
      <w:tblPr>
        <w:tblStyle w:val="TableGrid"/>
        <w:tblW w:w="0" w:type="auto"/>
        <w:jc w:val="center"/>
        <w:tblLook w:val="04A0" w:firstRow="1" w:lastRow="0" w:firstColumn="1" w:lastColumn="0" w:noHBand="0" w:noVBand="1"/>
      </w:tblPr>
      <w:tblGrid>
        <w:gridCol w:w="2263"/>
        <w:gridCol w:w="2268"/>
        <w:gridCol w:w="2410"/>
      </w:tblGrid>
      <w:tr w:rsidR="00A32D45" w:rsidRPr="00CD1DFD" w14:paraId="6B1FFDD0" w14:textId="77777777" w:rsidTr="005C03EB">
        <w:trPr>
          <w:jc w:val="center"/>
        </w:trPr>
        <w:tc>
          <w:tcPr>
            <w:tcW w:w="2263" w:type="dxa"/>
            <w:shd w:val="clear" w:color="auto" w:fill="A6A6A6" w:themeFill="background1" w:themeFillShade="A6"/>
          </w:tcPr>
          <w:p w14:paraId="7B6244E3" w14:textId="77777777" w:rsidR="00A32D45" w:rsidRPr="00CD1DFD" w:rsidRDefault="00A32D45" w:rsidP="00AC67F1">
            <w:pPr>
              <w:rPr>
                <w:rFonts w:cs="Arial"/>
              </w:rPr>
            </w:pPr>
          </w:p>
        </w:tc>
        <w:tc>
          <w:tcPr>
            <w:tcW w:w="2268" w:type="dxa"/>
            <w:shd w:val="clear" w:color="auto" w:fill="A6A6A6" w:themeFill="background1" w:themeFillShade="A6"/>
          </w:tcPr>
          <w:p w14:paraId="03F9B094" w14:textId="77777777" w:rsidR="00A32D45" w:rsidRPr="00CD1DFD" w:rsidRDefault="00A32D45" w:rsidP="00AC67F1">
            <w:pPr>
              <w:jc w:val="center"/>
              <w:rPr>
                <w:rFonts w:cs="Arial"/>
                <w:b/>
              </w:rPr>
            </w:pPr>
            <w:r w:rsidRPr="00CD1DFD">
              <w:rPr>
                <w:rFonts w:cs="Arial"/>
                <w:b/>
              </w:rPr>
              <w:t>Tax base</w:t>
            </w:r>
          </w:p>
        </w:tc>
        <w:tc>
          <w:tcPr>
            <w:tcW w:w="2410" w:type="dxa"/>
            <w:shd w:val="clear" w:color="auto" w:fill="A6A6A6" w:themeFill="background1" w:themeFillShade="A6"/>
          </w:tcPr>
          <w:p w14:paraId="1CF7D7D6" w14:textId="77777777" w:rsidR="00A32D45" w:rsidRPr="00CD1DFD" w:rsidRDefault="00A32D45" w:rsidP="00AC67F1">
            <w:pPr>
              <w:jc w:val="center"/>
              <w:rPr>
                <w:rFonts w:cs="Arial"/>
                <w:b/>
              </w:rPr>
            </w:pPr>
            <w:r w:rsidRPr="00CD1DFD">
              <w:rPr>
                <w:rFonts w:cs="Arial"/>
                <w:b/>
              </w:rPr>
              <w:t>% change</w:t>
            </w:r>
          </w:p>
        </w:tc>
      </w:tr>
      <w:tr w:rsidR="00A32D45" w:rsidRPr="00CD1DFD" w14:paraId="74039D0F" w14:textId="77777777" w:rsidTr="00AC67F1">
        <w:trPr>
          <w:jc w:val="center"/>
        </w:trPr>
        <w:tc>
          <w:tcPr>
            <w:tcW w:w="2263" w:type="dxa"/>
          </w:tcPr>
          <w:p w14:paraId="455902EF" w14:textId="77777777" w:rsidR="00A32D45" w:rsidRPr="001E485A" w:rsidRDefault="00A32D45" w:rsidP="00AC67F1">
            <w:pPr>
              <w:jc w:val="center"/>
              <w:rPr>
                <w:rFonts w:cs="Arial"/>
                <w:b/>
              </w:rPr>
            </w:pPr>
            <w:r w:rsidRPr="001E485A">
              <w:rPr>
                <w:rFonts w:cs="Arial"/>
                <w:b/>
              </w:rPr>
              <w:t>2010/11</w:t>
            </w:r>
          </w:p>
        </w:tc>
        <w:tc>
          <w:tcPr>
            <w:tcW w:w="2268" w:type="dxa"/>
          </w:tcPr>
          <w:p w14:paraId="02D253BC" w14:textId="77777777" w:rsidR="00A32D45" w:rsidRPr="00CD1DFD" w:rsidRDefault="00A32D45" w:rsidP="00AC67F1">
            <w:pPr>
              <w:jc w:val="right"/>
              <w:rPr>
                <w:rFonts w:cs="Arial"/>
              </w:rPr>
            </w:pPr>
            <w:r w:rsidRPr="00CD1DFD">
              <w:rPr>
                <w:rFonts w:cs="Arial"/>
              </w:rPr>
              <w:t>382,201</w:t>
            </w:r>
          </w:p>
        </w:tc>
        <w:tc>
          <w:tcPr>
            <w:tcW w:w="2410" w:type="dxa"/>
          </w:tcPr>
          <w:p w14:paraId="59E2FCA8" w14:textId="77777777" w:rsidR="00A32D45" w:rsidRPr="00CD1DFD" w:rsidRDefault="00A32D45" w:rsidP="00AC67F1">
            <w:pPr>
              <w:rPr>
                <w:rFonts w:cs="Arial"/>
              </w:rPr>
            </w:pPr>
          </w:p>
        </w:tc>
      </w:tr>
      <w:tr w:rsidR="00A32D45" w:rsidRPr="00CD1DFD" w14:paraId="62F3F214" w14:textId="77777777" w:rsidTr="00AC67F1">
        <w:trPr>
          <w:jc w:val="center"/>
        </w:trPr>
        <w:tc>
          <w:tcPr>
            <w:tcW w:w="2263" w:type="dxa"/>
          </w:tcPr>
          <w:p w14:paraId="49AD4C19" w14:textId="77777777" w:rsidR="00A32D45" w:rsidRPr="001E485A" w:rsidRDefault="00A32D45" w:rsidP="00AC67F1">
            <w:pPr>
              <w:jc w:val="center"/>
              <w:rPr>
                <w:rFonts w:cs="Arial"/>
                <w:b/>
              </w:rPr>
            </w:pPr>
            <w:r w:rsidRPr="001E485A">
              <w:rPr>
                <w:rFonts w:cs="Arial"/>
                <w:b/>
              </w:rPr>
              <w:t>2011/12</w:t>
            </w:r>
          </w:p>
        </w:tc>
        <w:tc>
          <w:tcPr>
            <w:tcW w:w="2268" w:type="dxa"/>
          </w:tcPr>
          <w:p w14:paraId="184D3A78" w14:textId="77777777" w:rsidR="00A32D45" w:rsidRPr="00CD1DFD" w:rsidRDefault="00A32D45" w:rsidP="00AC67F1">
            <w:pPr>
              <w:jc w:val="right"/>
              <w:rPr>
                <w:rFonts w:cs="Arial"/>
              </w:rPr>
            </w:pPr>
            <w:r w:rsidRPr="00CD1DFD">
              <w:rPr>
                <w:rFonts w:cs="Arial"/>
              </w:rPr>
              <w:t>383,227</w:t>
            </w:r>
          </w:p>
        </w:tc>
        <w:tc>
          <w:tcPr>
            <w:tcW w:w="2410" w:type="dxa"/>
          </w:tcPr>
          <w:p w14:paraId="65C8C9D6" w14:textId="77777777" w:rsidR="00A32D45" w:rsidRPr="00CD1DFD" w:rsidRDefault="00A32D45" w:rsidP="00AC67F1">
            <w:pPr>
              <w:jc w:val="right"/>
              <w:rPr>
                <w:rFonts w:cs="Arial"/>
              </w:rPr>
            </w:pPr>
            <w:r w:rsidRPr="00CD1DFD">
              <w:rPr>
                <w:rFonts w:cs="Arial"/>
              </w:rPr>
              <w:t>0.27</w:t>
            </w:r>
          </w:p>
        </w:tc>
      </w:tr>
      <w:tr w:rsidR="00A32D45" w:rsidRPr="00CD1DFD" w14:paraId="68F87EB8" w14:textId="77777777" w:rsidTr="00AC67F1">
        <w:trPr>
          <w:jc w:val="center"/>
        </w:trPr>
        <w:tc>
          <w:tcPr>
            <w:tcW w:w="2263" w:type="dxa"/>
          </w:tcPr>
          <w:p w14:paraId="439AD337" w14:textId="77777777" w:rsidR="00A32D45" w:rsidRPr="001E485A" w:rsidRDefault="00A32D45" w:rsidP="00AC67F1">
            <w:pPr>
              <w:jc w:val="center"/>
              <w:rPr>
                <w:rFonts w:cs="Arial"/>
                <w:b/>
              </w:rPr>
            </w:pPr>
            <w:r w:rsidRPr="001E485A">
              <w:rPr>
                <w:rFonts w:cs="Arial"/>
                <w:b/>
              </w:rPr>
              <w:t>2012/13</w:t>
            </w:r>
          </w:p>
        </w:tc>
        <w:tc>
          <w:tcPr>
            <w:tcW w:w="2268" w:type="dxa"/>
          </w:tcPr>
          <w:p w14:paraId="25A5B8AD" w14:textId="77777777" w:rsidR="00A32D45" w:rsidRPr="00CD1DFD" w:rsidRDefault="00A32D45" w:rsidP="00AC67F1">
            <w:pPr>
              <w:jc w:val="right"/>
              <w:rPr>
                <w:rFonts w:cs="Arial"/>
              </w:rPr>
            </w:pPr>
            <w:r w:rsidRPr="00CD1DFD">
              <w:rPr>
                <w:rFonts w:cs="Arial"/>
              </w:rPr>
              <w:t>383,703</w:t>
            </w:r>
          </w:p>
        </w:tc>
        <w:tc>
          <w:tcPr>
            <w:tcW w:w="2410" w:type="dxa"/>
          </w:tcPr>
          <w:p w14:paraId="61AA9A90" w14:textId="77777777" w:rsidR="00A32D45" w:rsidRPr="00CD1DFD" w:rsidRDefault="00A32D45" w:rsidP="00AC67F1">
            <w:pPr>
              <w:jc w:val="right"/>
              <w:rPr>
                <w:rFonts w:cs="Arial"/>
              </w:rPr>
            </w:pPr>
            <w:r w:rsidRPr="00CD1DFD">
              <w:rPr>
                <w:rFonts w:cs="Arial"/>
              </w:rPr>
              <w:t>0.12</w:t>
            </w:r>
          </w:p>
        </w:tc>
      </w:tr>
      <w:tr w:rsidR="00A32D45" w:rsidRPr="00CD1DFD" w14:paraId="1281BE17" w14:textId="77777777" w:rsidTr="00AC67F1">
        <w:trPr>
          <w:jc w:val="center"/>
        </w:trPr>
        <w:tc>
          <w:tcPr>
            <w:tcW w:w="2263" w:type="dxa"/>
          </w:tcPr>
          <w:p w14:paraId="20225514" w14:textId="77777777" w:rsidR="00A32D45" w:rsidRPr="001E485A" w:rsidRDefault="00A32D45" w:rsidP="00AC67F1">
            <w:pPr>
              <w:jc w:val="center"/>
              <w:rPr>
                <w:rFonts w:cs="Arial"/>
                <w:b/>
              </w:rPr>
            </w:pPr>
            <w:r w:rsidRPr="001E485A">
              <w:rPr>
                <w:rFonts w:cs="Arial"/>
                <w:b/>
              </w:rPr>
              <w:t>2013/14</w:t>
            </w:r>
          </w:p>
        </w:tc>
        <w:tc>
          <w:tcPr>
            <w:tcW w:w="2268" w:type="dxa"/>
          </w:tcPr>
          <w:p w14:paraId="602699E2" w14:textId="6BA8D8F9" w:rsidR="00A32D45" w:rsidRPr="00CD1DFD" w:rsidRDefault="00A32D45" w:rsidP="00016010">
            <w:pPr>
              <w:jc w:val="right"/>
              <w:rPr>
                <w:rFonts w:cs="Arial"/>
              </w:rPr>
            </w:pPr>
            <w:r w:rsidRPr="00CD1DFD">
              <w:rPr>
                <w:rFonts w:cs="Arial"/>
              </w:rPr>
              <w:t>331,64</w:t>
            </w:r>
            <w:r w:rsidR="00016010">
              <w:rPr>
                <w:rFonts w:cs="Arial"/>
              </w:rPr>
              <w:t>8</w:t>
            </w:r>
          </w:p>
        </w:tc>
        <w:tc>
          <w:tcPr>
            <w:tcW w:w="2410" w:type="dxa"/>
          </w:tcPr>
          <w:p w14:paraId="43EA6717" w14:textId="77777777" w:rsidR="00A32D45" w:rsidRPr="00CD1DFD" w:rsidRDefault="00A32D45" w:rsidP="00AC67F1">
            <w:pPr>
              <w:jc w:val="right"/>
              <w:rPr>
                <w:rFonts w:cs="Arial"/>
              </w:rPr>
            </w:pPr>
            <w:r w:rsidRPr="00CD1DFD">
              <w:rPr>
                <w:rFonts w:cs="Arial"/>
              </w:rPr>
              <w:t>-13.57</w:t>
            </w:r>
          </w:p>
        </w:tc>
      </w:tr>
      <w:tr w:rsidR="00A32D45" w:rsidRPr="00CD1DFD" w14:paraId="7DFD6276" w14:textId="77777777" w:rsidTr="00AC67F1">
        <w:trPr>
          <w:jc w:val="center"/>
        </w:trPr>
        <w:tc>
          <w:tcPr>
            <w:tcW w:w="2263" w:type="dxa"/>
          </w:tcPr>
          <w:p w14:paraId="16663EF1" w14:textId="77777777" w:rsidR="00A32D45" w:rsidRPr="001E485A" w:rsidRDefault="00A32D45" w:rsidP="00AC67F1">
            <w:pPr>
              <w:jc w:val="center"/>
              <w:rPr>
                <w:rFonts w:cs="Arial"/>
                <w:b/>
              </w:rPr>
            </w:pPr>
            <w:r w:rsidRPr="001E485A">
              <w:rPr>
                <w:rFonts w:cs="Arial"/>
                <w:b/>
              </w:rPr>
              <w:t>2014/15</w:t>
            </w:r>
          </w:p>
        </w:tc>
        <w:tc>
          <w:tcPr>
            <w:tcW w:w="2268" w:type="dxa"/>
          </w:tcPr>
          <w:p w14:paraId="6B895B12" w14:textId="0EFF3AC9" w:rsidR="00A32D45" w:rsidRPr="00CD1DFD" w:rsidRDefault="00A32D45" w:rsidP="00016010">
            <w:pPr>
              <w:jc w:val="right"/>
              <w:rPr>
                <w:rFonts w:cs="Arial"/>
              </w:rPr>
            </w:pPr>
            <w:r w:rsidRPr="00CD1DFD">
              <w:rPr>
                <w:rFonts w:cs="Arial"/>
              </w:rPr>
              <w:t>336,0</w:t>
            </w:r>
            <w:r w:rsidR="00016010">
              <w:rPr>
                <w:rFonts w:cs="Arial"/>
              </w:rPr>
              <w:t>50</w:t>
            </w:r>
          </w:p>
        </w:tc>
        <w:tc>
          <w:tcPr>
            <w:tcW w:w="2410" w:type="dxa"/>
          </w:tcPr>
          <w:p w14:paraId="0F77B23C" w14:textId="77777777" w:rsidR="00A32D45" w:rsidRPr="00CD1DFD" w:rsidRDefault="00A32D45" w:rsidP="00AC67F1">
            <w:pPr>
              <w:jc w:val="right"/>
              <w:rPr>
                <w:rFonts w:cs="Arial"/>
              </w:rPr>
            </w:pPr>
            <w:r w:rsidRPr="00CD1DFD">
              <w:rPr>
                <w:rFonts w:cs="Arial"/>
              </w:rPr>
              <w:t>1.33</w:t>
            </w:r>
          </w:p>
        </w:tc>
      </w:tr>
      <w:tr w:rsidR="00A32D45" w:rsidRPr="00CD1DFD" w14:paraId="608573EC" w14:textId="77777777" w:rsidTr="00AC67F1">
        <w:trPr>
          <w:jc w:val="center"/>
        </w:trPr>
        <w:tc>
          <w:tcPr>
            <w:tcW w:w="2263" w:type="dxa"/>
          </w:tcPr>
          <w:p w14:paraId="7CB751AF" w14:textId="77777777" w:rsidR="00A32D45" w:rsidRPr="001E485A" w:rsidRDefault="00A32D45" w:rsidP="00AC67F1">
            <w:pPr>
              <w:jc w:val="center"/>
              <w:rPr>
                <w:rFonts w:cs="Arial"/>
                <w:b/>
              </w:rPr>
            </w:pPr>
            <w:r w:rsidRPr="001E485A">
              <w:rPr>
                <w:rFonts w:cs="Arial"/>
                <w:b/>
              </w:rPr>
              <w:t>2015/16</w:t>
            </w:r>
          </w:p>
        </w:tc>
        <w:tc>
          <w:tcPr>
            <w:tcW w:w="2268" w:type="dxa"/>
          </w:tcPr>
          <w:p w14:paraId="1FC59A7E" w14:textId="4FCF9BCD" w:rsidR="00A32D45" w:rsidRPr="00CD1DFD" w:rsidRDefault="00A32D45" w:rsidP="00016010">
            <w:pPr>
              <w:jc w:val="right"/>
              <w:rPr>
                <w:rFonts w:cs="Arial"/>
              </w:rPr>
            </w:pPr>
            <w:r w:rsidRPr="00CD1DFD">
              <w:rPr>
                <w:rFonts w:cs="Arial"/>
              </w:rPr>
              <w:t>342,636</w:t>
            </w:r>
          </w:p>
        </w:tc>
        <w:tc>
          <w:tcPr>
            <w:tcW w:w="2410" w:type="dxa"/>
          </w:tcPr>
          <w:p w14:paraId="7AC4873F" w14:textId="77777777" w:rsidR="00A32D45" w:rsidRPr="00CD1DFD" w:rsidRDefault="00A32D45" w:rsidP="00AC67F1">
            <w:pPr>
              <w:jc w:val="right"/>
              <w:rPr>
                <w:rFonts w:cs="Arial"/>
              </w:rPr>
            </w:pPr>
            <w:r w:rsidRPr="00CD1DFD">
              <w:rPr>
                <w:rFonts w:cs="Arial"/>
              </w:rPr>
              <w:t>1.96</w:t>
            </w:r>
          </w:p>
        </w:tc>
      </w:tr>
      <w:tr w:rsidR="00A32D45" w:rsidRPr="00CD1DFD" w14:paraId="0CBE8B68" w14:textId="77777777" w:rsidTr="00AC67F1">
        <w:trPr>
          <w:jc w:val="center"/>
        </w:trPr>
        <w:tc>
          <w:tcPr>
            <w:tcW w:w="2263" w:type="dxa"/>
          </w:tcPr>
          <w:p w14:paraId="7ABCFE45" w14:textId="77777777" w:rsidR="00A32D45" w:rsidRPr="001E485A" w:rsidRDefault="00A32D45" w:rsidP="00AC67F1">
            <w:pPr>
              <w:jc w:val="center"/>
              <w:rPr>
                <w:rFonts w:cs="Arial"/>
                <w:b/>
              </w:rPr>
            </w:pPr>
            <w:r w:rsidRPr="001E485A">
              <w:rPr>
                <w:rFonts w:cs="Arial"/>
                <w:b/>
              </w:rPr>
              <w:t>2016/17</w:t>
            </w:r>
          </w:p>
        </w:tc>
        <w:tc>
          <w:tcPr>
            <w:tcW w:w="2268" w:type="dxa"/>
          </w:tcPr>
          <w:p w14:paraId="3F739F98" w14:textId="74EECB9D" w:rsidR="00A32D45" w:rsidRPr="00CD1DFD" w:rsidRDefault="00A32D45" w:rsidP="00016010">
            <w:pPr>
              <w:jc w:val="right"/>
              <w:rPr>
                <w:rFonts w:cs="Arial"/>
              </w:rPr>
            </w:pPr>
            <w:r w:rsidRPr="00CD1DFD">
              <w:rPr>
                <w:rFonts w:cs="Arial"/>
              </w:rPr>
              <w:t>348,980</w:t>
            </w:r>
          </w:p>
        </w:tc>
        <w:tc>
          <w:tcPr>
            <w:tcW w:w="2410" w:type="dxa"/>
          </w:tcPr>
          <w:p w14:paraId="51BE4DE1" w14:textId="77777777" w:rsidR="00A32D45" w:rsidRPr="00CD1DFD" w:rsidRDefault="00A32D45" w:rsidP="00AC67F1">
            <w:pPr>
              <w:jc w:val="right"/>
              <w:rPr>
                <w:rFonts w:cs="Arial"/>
              </w:rPr>
            </w:pPr>
            <w:r w:rsidRPr="00CD1DFD">
              <w:rPr>
                <w:rFonts w:cs="Arial"/>
              </w:rPr>
              <w:t>1.85</w:t>
            </w:r>
          </w:p>
        </w:tc>
      </w:tr>
    </w:tbl>
    <w:p w14:paraId="04F6C005" w14:textId="77777777" w:rsidR="00A32D45" w:rsidRPr="00CD1DFD" w:rsidRDefault="00A32D45" w:rsidP="00A32D45">
      <w:pPr>
        <w:rPr>
          <w:rFonts w:cs="Arial"/>
        </w:rPr>
      </w:pPr>
    </w:p>
    <w:p w14:paraId="09312BE1" w14:textId="0FE792F8" w:rsidR="00A32D45" w:rsidRDefault="008676D4" w:rsidP="008676D4">
      <w:pPr>
        <w:spacing w:after="0"/>
        <w:rPr>
          <w:rFonts w:cs="Arial"/>
        </w:rPr>
      </w:pPr>
      <w:r>
        <w:rPr>
          <w:rFonts w:cs="Arial"/>
        </w:rPr>
        <w:t xml:space="preserve">The financial year </w:t>
      </w:r>
      <w:r w:rsidR="00A32D45" w:rsidRPr="00CD1DFD">
        <w:rPr>
          <w:rFonts w:cs="Arial"/>
        </w:rPr>
        <w:t>2013/14 saw the introduction of a new system whereby local authorities were responsible for Council Tax support with the abolition of the national council tax benefits scheme. The year on year change in the tax base are not comparable.</w:t>
      </w:r>
    </w:p>
    <w:p w14:paraId="554D41F1" w14:textId="77777777" w:rsidR="008676D4" w:rsidRPr="00CD1DFD" w:rsidRDefault="008676D4" w:rsidP="008676D4">
      <w:pPr>
        <w:spacing w:after="0"/>
        <w:rPr>
          <w:rFonts w:cs="Arial"/>
        </w:rPr>
      </w:pPr>
    </w:p>
    <w:p w14:paraId="770E3E95" w14:textId="69D9CC4F" w:rsidR="00A32D45" w:rsidRDefault="00A32D45" w:rsidP="008676D4">
      <w:pPr>
        <w:spacing w:after="0"/>
        <w:rPr>
          <w:rFonts w:cs="Arial"/>
        </w:rPr>
      </w:pPr>
      <w:r w:rsidRPr="00CD1DFD">
        <w:rPr>
          <w:rFonts w:cs="Arial"/>
        </w:rPr>
        <w:t xml:space="preserve">Ignoring 2013/14 the council tax base has grown each year. The growth rate does exceed the rate provided for in the MTFS by up to 1.7%. These recent years are data from a time when the economy was growing and it would be reasonable to expect growth. Whether or not this trend continues is one which needs to be kept under review. Before the introduction of the technical changes in April 2013 the national average annual </w:t>
      </w:r>
      <w:r w:rsidR="004C00D2">
        <w:rPr>
          <w:rFonts w:cs="Arial"/>
        </w:rPr>
        <w:t xml:space="preserve">increase was approximately 0.6%. </w:t>
      </w:r>
      <w:r w:rsidR="008C7719">
        <w:rPr>
          <w:rFonts w:cs="Arial"/>
        </w:rPr>
        <w:t>I</w:t>
      </w:r>
      <w:r w:rsidRPr="00CD1DFD">
        <w:rPr>
          <w:rFonts w:cs="Arial"/>
        </w:rPr>
        <w:t xml:space="preserve">f the Council Tax was kept the same yet the council tax base was assumed to increase by 1% per annum the impact would be: </w:t>
      </w:r>
    </w:p>
    <w:p w14:paraId="46980777" w14:textId="77777777" w:rsidR="008676D4" w:rsidRPr="00CD1DFD" w:rsidRDefault="008676D4" w:rsidP="008676D4">
      <w:pPr>
        <w:spacing w:after="0"/>
        <w:rPr>
          <w:rFonts w:cs="Arial"/>
        </w:rPr>
      </w:pPr>
    </w:p>
    <w:tbl>
      <w:tblPr>
        <w:tblStyle w:val="TableGrid"/>
        <w:tblW w:w="0" w:type="auto"/>
        <w:tblLook w:val="04A0" w:firstRow="1" w:lastRow="0" w:firstColumn="1" w:lastColumn="0" w:noHBand="0" w:noVBand="1"/>
      </w:tblPr>
      <w:tblGrid>
        <w:gridCol w:w="3256"/>
        <w:gridCol w:w="1440"/>
        <w:gridCol w:w="1440"/>
        <w:gridCol w:w="1440"/>
        <w:gridCol w:w="1440"/>
      </w:tblGrid>
      <w:tr w:rsidR="00A32D45" w:rsidRPr="00CD1DFD" w14:paraId="2F9D0212" w14:textId="77777777" w:rsidTr="005C03EB">
        <w:tc>
          <w:tcPr>
            <w:tcW w:w="3256" w:type="dxa"/>
            <w:tcBorders>
              <w:bottom w:val="nil"/>
            </w:tcBorders>
            <w:shd w:val="clear" w:color="auto" w:fill="A6A6A6" w:themeFill="background1" w:themeFillShade="A6"/>
          </w:tcPr>
          <w:p w14:paraId="7883CFFD" w14:textId="77777777" w:rsidR="00A32D45" w:rsidRPr="00CD1DFD" w:rsidRDefault="00A32D45" w:rsidP="00AC67F1">
            <w:pPr>
              <w:rPr>
                <w:rFonts w:cs="Arial"/>
              </w:rPr>
            </w:pPr>
          </w:p>
        </w:tc>
        <w:tc>
          <w:tcPr>
            <w:tcW w:w="1440" w:type="dxa"/>
            <w:tcBorders>
              <w:bottom w:val="nil"/>
            </w:tcBorders>
            <w:shd w:val="clear" w:color="auto" w:fill="A6A6A6" w:themeFill="background1" w:themeFillShade="A6"/>
          </w:tcPr>
          <w:p w14:paraId="73CF1278" w14:textId="77777777" w:rsidR="00A32D45" w:rsidRPr="00CD1DFD" w:rsidRDefault="00A32D45" w:rsidP="00AC67F1">
            <w:pPr>
              <w:jc w:val="center"/>
              <w:rPr>
                <w:rFonts w:cs="Arial"/>
                <w:b/>
              </w:rPr>
            </w:pPr>
            <w:r w:rsidRPr="00CD1DFD">
              <w:rPr>
                <w:rFonts w:cs="Arial"/>
                <w:b/>
              </w:rPr>
              <w:t>2017/18</w:t>
            </w:r>
          </w:p>
        </w:tc>
        <w:tc>
          <w:tcPr>
            <w:tcW w:w="1440" w:type="dxa"/>
            <w:tcBorders>
              <w:bottom w:val="nil"/>
            </w:tcBorders>
            <w:shd w:val="clear" w:color="auto" w:fill="A6A6A6" w:themeFill="background1" w:themeFillShade="A6"/>
          </w:tcPr>
          <w:p w14:paraId="6A0485A5" w14:textId="77777777" w:rsidR="00A32D45" w:rsidRPr="00CD1DFD" w:rsidRDefault="00A32D45" w:rsidP="00AC67F1">
            <w:pPr>
              <w:jc w:val="center"/>
              <w:rPr>
                <w:rFonts w:cs="Arial"/>
                <w:b/>
              </w:rPr>
            </w:pPr>
            <w:r w:rsidRPr="00CD1DFD">
              <w:rPr>
                <w:rFonts w:cs="Arial"/>
                <w:b/>
              </w:rPr>
              <w:t>2018/19</w:t>
            </w:r>
          </w:p>
        </w:tc>
        <w:tc>
          <w:tcPr>
            <w:tcW w:w="1440" w:type="dxa"/>
            <w:tcBorders>
              <w:bottom w:val="nil"/>
            </w:tcBorders>
            <w:shd w:val="clear" w:color="auto" w:fill="A6A6A6" w:themeFill="background1" w:themeFillShade="A6"/>
          </w:tcPr>
          <w:p w14:paraId="4A87F51D" w14:textId="77777777" w:rsidR="00A32D45" w:rsidRPr="00CD1DFD" w:rsidRDefault="00A32D45" w:rsidP="00AC67F1">
            <w:pPr>
              <w:jc w:val="center"/>
              <w:rPr>
                <w:rFonts w:cs="Arial"/>
                <w:b/>
              </w:rPr>
            </w:pPr>
            <w:r w:rsidRPr="00CD1DFD">
              <w:rPr>
                <w:rFonts w:cs="Arial"/>
                <w:b/>
              </w:rPr>
              <w:t>2019/20</w:t>
            </w:r>
          </w:p>
        </w:tc>
        <w:tc>
          <w:tcPr>
            <w:tcW w:w="1440" w:type="dxa"/>
            <w:tcBorders>
              <w:bottom w:val="nil"/>
            </w:tcBorders>
            <w:shd w:val="clear" w:color="auto" w:fill="A6A6A6" w:themeFill="background1" w:themeFillShade="A6"/>
          </w:tcPr>
          <w:p w14:paraId="5CD34222" w14:textId="77777777" w:rsidR="00A32D45" w:rsidRPr="00CD1DFD" w:rsidRDefault="00A32D45" w:rsidP="00AC67F1">
            <w:pPr>
              <w:jc w:val="center"/>
              <w:rPr>
                <w:rFonts w:cs="Arial"/>
                <w:b/>
              </w:rPr>
            </w:pPr>
            <w:r w:rsidRPr="00CD1DFD">
              <w:rPr>
                <w:rFonts w:cs="Arial"/>
                <w:b/>
              </w:rPr>
              <w:t>2020/21</w:t>
            </w:r>
          </w:p>
        </w:tc>
      </w:tr>
      <w:tr w:rsidR="00A32D45" w:rsidRPr="00CD1DFD" w14:paraId="772E1621" w14:textId="77777777" w:rsidTr="005C03EB">
        <w:tc>
          <w:tcPr>
            <w:tcW w:w="3256" w:type="dxa"/>
            <w:tcBorders>
              <w:top w:val="nil"/>
            </w:tcBorders>
            <w:shd w:val="clear" w:color="auto" w:fill="A6A6A6" w:themeFill="background1" w:themeFillShade="A6"/>
          </w:tcPr>
          <w:p w14:paraId="35653FB6" w14:textId="77777777" w:rsidR="00A32D45" w:rsidRPr="00CD1DFD" w:rsidRDefault="00A32D45" w:rsidP="00AC67F1">
            <w:pPr>
              <w:rPr>
                <w:rFonts w:cs="Arial"/>
              </w:rPr>
            </w:pPr>
          </w:p>
        </w:tc>
        <w:tc>
          <w:tcPr>
            <w:tcW w:w="1440" w:type="dxa"/>
            <w:tcBorders>
              <w:top w:val="nil"/>
            </w:tcBorders>
            <w:shd w:val="clear" w:color="auto" w:fill="A6A6A6" w:themeFill="background1" w:themeFillShade="A6"/>
          </w:tcPr>
          <w:p w14:paraId="0849F46D" w14:textId="77777777" w:rsidR="00A32D45" w:rsidRPr="00CD1DFD" w:rsidRDefault="00A32D45" w:rsidP="00AC67F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18329BC5" w14:textId="77777777" w:rsidR="00A32D45" w:rsidRPr="00CD1DFD" w:rsidRDefault="00A32D45" w:rsidP="00AC67F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688E8172" w14:textId="77777777" w:rsidR="00A32D45" w:rsidRPr="00CD1DFD" w:rsidRDefault="00A32D45" w:rsidP="00AC67F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3E08EB0D" w14:textId="77777777" w:rsidR="00A32D45" w:rsidRPr="00CD1DFD" w:rsidRDefault="00A32D45" w:rsidP="00AC67F1">
            <w:pPr>
              <w:jc w:val="center"/>
              <w:rPr>
                <w:rFonts w:cs="Arial"/>
                <w:b/>
              </w:rPr>
            </w:pPr>
            <w:r w:rsidRPr="00CD1DFD">
              <w:rPr>
                <w:rFonts w:cs="Arial"/>
                <w:b/>
              </w:rPr>
              <w:t>£m</w:t>
            </w:r>
          </w:p>
        </w:tc>
      </w:tr>
      <w:tr w:rsidR="00A32D45" w:rsidRPr="00CD1DFD" w14:paraId="335B9D22" w14:textId="77777777" w:rsidTr="00AC67F1">
        <w:tc>
          <w:tcPr>
            <w:tcW w:w="3256" w:type="dxa"/>
          </w:tcPr>
          <w:p w14:paraId="3E13E9F9" w14:textId="77777777" w:rsidR="00A32D45" w:rsidRPr="00CD1DFD" w:rsidRDefault="00A32D45" w:rsidP="00AC67F1">
            <w:pPr>
              <w:rPr>
                <w:rFonts w:cs="Arial"/>
              </w:rPr>
            </w:pPr>
            <w:r w:rsidRPr="00CD1DFD">
              <w:rPr>
                <w:rFonts w:cs="Arial"/>
              </w:rPr>
              <w:t xml:space="preserve">Increase in income </w:t>
            </w:r>
          </w:p>
        </w:tc>
        <w:tc>
          <w:tcPr>
            <w:tcW w:w="1440" w:type="dxa"/>
          </w:tcPr>
          <w:p w14:paraId="1D03C436" w14:textId="77777777" w:rsidR="00A32D45" w:rsidRPr="00CD1DFD" w:rsidRDefault="00A32D45" w:rsidP="00AC67F1">
            <w:pPr>
              <w:jc w:val="right"/>
              <w:rPr>
                <w:rFonts w:cs="Arial"/>
              </w:rPr>
            </w:pPr>
            <w:r w:rsidRPr="00CD1DFD">
              <w:rPr>
                <w:rFonts w:cs="Arial"/>
              </w:rPr>
              <w:t>1.921</w:t>
            </w:r>
          </w:p>
        </w:tc>
        <w:tc>
          <w:tcPr>
            <w:tcW w:w="1440" w:type="dxa"/>
          </w:tcPr>
          <w:p w14:paraId="348AFB6C" w14:textId="77777777" w:rsidR="00A32D45" w:rsidRPr="00CD1DFD" w:rsidRDefault="00A32D45" w:rsidP="00AC67F1">
            <w:pPr>
              <w:jc w:val="right"/>
              <w:rPr>
                <w:rFonts w:cs="Arial"/>
              </w:rPr>
            </w:pPr>
            <w:r w:rsidRPr="00CD1DFD">
              <w:rPr>
                <w:rFonts w:cs="Arial"/>
              </w:rPr>
              <w:t>5.048</w:t>
            </w:r>
          </w:p>
        </w:tc>
        <w:tc>
          <w:tcPr>
            <w:tcW w:w="1440" w:type="dxa"/>
          </w:tcPr>
          <w:p w14:paraId="52DC33BA" w14:textId="77777777" w:rsidR="00A32D45" w:rsidRPr="00CD1DFD" w:rsidRDefault="00A32D45" w:rsidP="00AC67F1">
            <w:pPr>
              <w:jc w:val="right"/>
              <w:rPr>
                <w:rFonts w:cs="Arial"/>
              </w:rPr>
            </w:pPr>
            <w:r w:rsidRPr="00CD1DFD">
              <w:rPr>
                <w:rFonts w:cs="Arial"/>
              </w:rPr>
              <w:t>8.211</w:t>
            </w:r>
          </w:p>
        </w:tc>
        <w:tc>
          <w:tcPr>
            <w:tcW w:w="1440" w:type="dxa"/>
          </w:tcPr>
          <w:p w14:paraId="64B94A13" w14:textId="77777777" w:rsidR="00A32D45" w:rsidRPr="00CD1DFD" w:rsidRDefault="00A32D45" w:rsidP="00AC67F1">
            <w:pPr>
              <w:jc w:val="right"/>
              <w:rPr>
                <w:rFonts w:cs="Arial"/>
              </w:rPr>
            </w:pPr>
            <w:r w:rsidRPr="00CD1DFD">
              <w:rPr>
                <w:rFonts w:cs="Arial"/>
              </w:rPr>
              <w:t>11.414</w:t>
            </w:r>
          </w:p>
        </w:tc>
      </w:tr>
      <w:tr w:rsidR="00A32D45" w:rsidRPr="00CD1DFD" w14:paraId="2069001A" w14:textId="77777777" w:rsidTr="00AC67F1">
        <w:tc>
          <w:tcPr>
            <w:tcW w:w="3256" w:type="dxa"/>
          </w:tcPr>
          <w:p w14:paraId="5CA80036" w14:textId="77777777" w:rsidR="00A32D45" w:rsidRPr="00CD1DFD" w:rsidRDefault="00A32D45" w:rsidP="00AC67F1">
            <w:pPr>
              <w:rPr>
                <w:rFonts w:cs="Arial"/>
              </w:rPr>
            </w:pPr>
            <w:r w:rsidRPr="00CD1DFD">
              <w:rPr>
                <w:rFonts w:cs="Arial"/>
              </w:rPr>
              <w:t>Impact on Funding Gap</w:t>
            </w:r>
          </w:p>
        </w:tc>
        <w:tc>
          <w:tcPr>
            <w:tcW w:w="1440" w:type="dxa"/>
          </w:tcPr>
          <w:p w14:paraId="341CEFCF" w14:textId="77777777" w:rsidR="00A32D45" w:rsidRPr="00CD1DFD" w:rsidRDefault="00A32D45" w:rsidP="00AC67F1">
            <w:pPr>
              <w:jc w:val="right"/>
              <w:rPr>
                <w:rFonts w:cs="Arial"/>
              </w:rPr>
            </w:pPr>
            <w:r w:rsidRPr="00CD1DFD">
              <w:rPr>
                <w:rFonts w:cs="Arial"/>
              </w:rPr>
              <w:t>1.921</w:t>
            </w:r>
          </w:p>
        </w:tc>
        <w:tc>
          <w:tcPr>
            <w:tcW w:w="1440" w:type="dxa"/>
          </w:tcPr>
          <w:p w14:paraId="5528AA05" w14:textId="77777777" w:rsidR="00A32D45" w:rsidRPr="00CD1DFD" w:rsidRDefault="00A32D45" w:rsidP="00AC67F1">
            <w:pPr>
              <w:jc w:val="right"/>
              <w:rPr>
                <w:rFonts w:cs="Arial"/>
              </w:rPr>
            </w:pPr>
            <w:r w:rsidRPr="00CD1DFD">
              <w:rPr>
                <w:rFonts w:cs="Arial"/>
              </w:rPr>
              <w:t>3.127</w:t>
            </w:r>
          </w:p>
        </w:tc>
        <w:tc>
          <w:tcPr>
            <w:tcW w:w="1440" w:type="dxa"/>
          </w:tcPr>
          <w:p w14:paraId="140F6925" w14:textId="77777777" w:rsidR="00A32D45" w:rsidRPr="00CD1DFD" w:rsidRDefault="00A32D45" w:rsidP="00AC67F1">
            <w:pPr>
              <w:jc w:val="right"/>
              <w:rPr>
                <w:rFonts w:cs="Arial"/>
              </w:rPr>
            </w:pPr>
            <w:r w:rsidRPr="00CD1DFD">
              <w:rPr>
                <w:rFonts w:cs="Arial"/>
              </w:rPr>
              <w:t>3.163</w:t>
            </w:r>
          </w:p>
        </w:tc>
        <w:tc>
          <w:tcPr>
            <w:tcW w:w="1440" w:type="dxa"/>
          </w:tcPr>
          <w:p w14:paraId="2E41766D" w14:textId="77777777" w:rsidR="00A32D45" w:rsidRPr="00CD1DFD" w:rsidRDefault="00A32D45" w:rsidP="00AC67F1">
            <w:pPr>
              <w:jc w:val="right"/>
              <w:rPr>
                <w:rFonts w:cs="Arial"/>
              </w:rPr>
            </w:pPr>
            <w:r w:rsidRPr="00CD1DFD">
              <w:rPr>
                <w:rFonts w:cs="Arial"/>
              </w:rPr>
              <w:t>3.203</w:t>
            </w:r>
          </w:p>
        </w:tc>
      </w:tr>
    </w:tbl>
    <w:p w14:paraId="7735AA60" w14:textId="77777777" w:rsidR="00A32D45" w:rsidRPr="00CD1DFD" w:rsidRDefault="00A32D45" w:rsidP="00A32D45">
      <w:pPr>
        <w:rPr>
          <w:rFonts w:cs="Arial"/>
        </w:rPr>
      </w:pPr>
    </w:p>
    <w:p w14:paraId="12FA3AC6" w14:textId="511FFEB6" w:rsidR="00A32D45" w:rsidRDefault="008C7719" w:rsidP="00A32D45">
      <w:pPr>
        <w:rPr>
          <w:rFonts w:cs="Arial"/>
        </w:rPr>
      </w:pPr>
      <w:r>
        <w:rPr>
          <w:rFonts w:cs="Arial"/>
        </w:rPr>
        <w:t>The MTFS now presented a</w:t>
      </w:r>
      <w:r w:rsidR="00A32D45" w:rsidRPr="00CD1DFD">
        <w:rPr>
          <w:rFonts w:cs="Arial"/>
        </w:rPr>
        <w:t>ssum</w:t>
      </w:r>
      <w:r>
        <w:rPr>
          <w:rFonts w:cs="Arial"/>
        </w:rPr>
        <w:t>es</w:t>
      </w:r>
      <w:r w:rsidR="00A32D45" w:rsidRPr="00CD1DFD">
        <w:rPr>
          <w:rFonts w:cs="Arial"/>
        </w:rPr>
        <w:t xml:space="preserve"> a 3.99% increase in Council Tax along with a 1% increase in the tax-base</w:t>
      </w:r>
      <w:r>
        <w:rPr>
          <w:rFonts w:cs="Arial"/>
        </w:rPr>
        <w:t xml:space="preserve">. This </w:t>
      </w:r>
      <w:r w:rsidR="003F76DE">
        <w:rPr>
          <w:rFonts w:cs="Arial"/>
        </w:rPr>
        <w:t>has</w:t>
      </w:r>
      <w:r w:rsidR="00A32D45" w:rsidRPr="00CD1DFD">
        <w:rPr>
          <w:rFonts w:cs="Arial"/>
        </w:rPr>
        <w:t xml:space="preserve"> the following impact:</w:t>
      </w:r>
    </w:p>
    <w:p w14:paraId="69A8B453" w14:textId="77777777" w:rsidR="008676D4" w:rsidRPr="00CD1DFD" w:rsidRDefault="008676D4" w:rsidP="00A32D45">
      <w:pPr>
        <w:rPr>
          <w:rFonts w:cs="Arial"/>
        </w:rPr>
      </w:pPr>
    </w:p>
    <w:tbl>
      <w:tblPr>
        <w:tblStyle w:val="TableGrid"/>
        <w:tblW w:w="0" w:type="auto"/>
        <w:tblLook w:val="04A0" w:firstRow="1" w:lastRow="0" w:firstColumn="1" w:lastColumn="0" w:noHBand="0" w:noVBand="1"/>
      </w:tblPr>
      <w:tblGrid>
        <w:gridCol w:w="3256"/>
        <w:gridCol w:w="1440"/>
        <w:gridCol w:w="1440"/>
        <w:gridCol w:w="1440"/>
        <w:gridCol w:w="1440"/>
      </w:tblGrid>
      <w:tr w:rsidR="00A32D45" w:rsidRPr="00CD1DFD" w14:paraId="0574F80C" w14:textId="77777777" w:rsidTr="005C03EB">
        <w:tc>
          <w:tcPr>
            <w:tcW w:w="3256" w:type="dxa"/>
            <w:tcBorders>
              <w:bottom w:val="nil"/>
            </w:tcBorders>
            <w:shd w:val="clear" w:color="auto" w:fill="A6A6A6" w:themeFill="background1" w:themeFillShade="A6"/>
          </w:tcPr>
          <w:p w14:paraId="24AD7754" w14:textId="77777777" w:rsidR="00A32D45" w:rsidRPr="00CD1DFD" w:rsidRDefault="00A32D45" w:rsidP="00AC67F1">
            <w:pPr>
              <w:rPr>
                <w:rFonts w:cs="Arial"/>
              </w:rPr>
            </w:pPr>
          </w:p>
        </w:tc>
        <w:tc>
          <w:tcPr>
            <w:tcW w:w="1440" w:type="dxa"/>
            <w:tcBorders>
              <w:bottom w:val="nil"/>
            </w:tcBorders>
            <w:shd w:val="clear" w:color="auto" w:fill="A6A6A6" w:themeFill="background1" w:themeFillShade="A6"/>
          </w:tcPr>
          <w:p w14:paraId="2DC78A3D" w14:textId="77777777" w:rsidR="00A32D45" w:rsidRPr="00CD1DFD" w:rsidRDefault="00A32D45" w:rsidP="00AC67F1">
            <w:pPr>
              <w:jc w:val="center"/>
              <w:rPr>
                <w:rFonts w:cs="Arial"/>
                <w:b/>
              </w:rPr>
            </w:pPr>
            <w:r w:rsidRPr="00CD1DFD">
              <w:rPr>
                <w:rFonts w:cs="Arial"/>
                <w:b/>
              </w:rPr>
              <w:t>2017/18</w:t>
            </w:r>
          </w:p>
        </w:tc>
        <w:tc>
          <w:tcPr>
            <w:tcW w:w="1440" w:type="dxa"/>
            <w:tcBorders>
              <w:bottom w:val="nil"/>
            </w:tcBorders>
            <w:shd w:val="clear" w:color="auto" w:fill="A6A6A6" w:themeFill="background1" w:themeFillShade="A6"/>
          </w:tcPr>
          <w:p w14:paraId="5B0F0CE4" w14:textId="77777777" w:rsidR="00A32D45" w:rsidRPr="00CD1DFD" w:rsidRDefault="00A32D45" w:rsidP="00AC67F1">
            <w:pPr>
              <w:jc w:val="center"/>
              <w:rPr>
                <w:rFonts w:cs="Arial"/>
                <w:b/>
              </w:rPr>
            </w:pPr>
            <w:r w:rsidRPr="00CD1DFD">
              <w:rPr>
                <w:rFonts w:cs="Arial"/>
                <w:b/>
              </w:rPr>
              <w:t>2018/19</w:t>
            </w:r>
          </w:p>
        </w:tc>
        <w:tc>
          <w:tcPr>
            <w:tcW w:w="1440" w:type="dxa"/>
            <w:tcBorders>
              <w:bottom w:val="nil"/>
            </w:tcBorders>
            <w:shd w:val="clear" w:color="auto" w:fill="A6A6A6" w:themeFill="background1" w:themeFillShade="A6"/>
          </w:tcPr>
          <w:p w14:paraId="6B6E72A6" w14:textId="77777777" w:rsidR="00A32D45" w:rsidRPr="00CD1DFD" w:rsidRDefault="00A32D45" w:rsidP="00AC67F1">
            <w:pPr>
              <w:jc w:val="center"/>
              <w:rPr>
                <w:rFonts w:cs="Arial"/>
                <w:b/>
              </w:rPr>
            </w:pPr>
            <w:r w:rsidRPr="00CD1DFD">
              <w:rPr>
                <w:rFonts w:cs="Arial"/>
                <w:b/>
              </w:rPr>
              <w:t>2019/20</w:t>
            </w:r>
          </w:p>
        </w:tc>
        <w:tc>
          <w:tcPr>
            <w:tcW w:w="1440" w:type="dxa"/>
            <w:tcBorders>
              <w:bottom w:val="nil"/>
            </w:tcBorders>
            <w:shd w:val="clear" w:color="auto" w:fill="A6A6A6" w:themeFill="background1" w:themeFillShade="A6"/>
          </w:tcPr>
          <w:p w14:paraId="073132C2" w14:textId="77777777" w:rsidR="00A32D45" w:rsidRPr="00CD1DFD" w:rsidRDefault="00A32D45" w:rsidP="00AC67F1">
            <w:pPr>
              <w:jc w:val="center"/>
              <w:rPr>
                <w:rFonts w:cs="Arial"/>
                <w:b/>
              </w:rPr>
            </w:pPr>
            <w:r w:rsidRPr="00CD1DFD">
              <w:rPr>
                <w:rFonts w:cs="Arial"/>
                <w:b/>
              </w:rPr>
              <w:t>2020/21</w:t>
            </w:r>
          </w:p>
        </w:tc>
      </w:tr>
      <w:tr w:rsidR="00A32D45" w:rsidRPr="00CD1DFD" w14:paraId="410617F5" w14:textId="77777777" w:rsidTr="005C03EB">
        <w:tc>
          <w:tcPr>
            <w:tcW w:w="3256" w:type="dxa"/>
            <w:tcBorders>
              <w:top w:val="nil"/>
            </w:tcBorders>
            <w:shd w:val="clear" w:color="auto" w:fill="A6A6A6" w:themeFill="background1" w:themeFillShade="A6"/>
          </w:tcPr>
          <w:p w14:paraId="735CA758" w14:textId="77777777" w:rsidR="00A32D45" w:rsidRPr="00CD1DFD" w:rsidRDefault="00A32D45" w:rsidP="00AC67F1">
            <w:pPr>
              <w:rPr>
                <w:rFonts w:cs="Arial"/>
              </w:rPr>
            </w:pPr>
          </w:p>
        </w:tc>
        <w:tc>
          <w:tcPr>
            <w:tcW w:w="1440" w:type="dxa"/>
            <w:tcBorders>
              <w:top w:val="nil"/>
            </w:tcBorders>
            <w:shd w:val="clear" w:color="auto" w:fill="A6A6A6" w:themeFill="background1" w:themeFillShade="A6"/>
          </w:tcPr>
          <w:p w14:paraId="448CC3A5" w14:textId="77777777" w:rsidR="00A32D45" w:rsidRPr="00CD1DFD" w:rsidRDefault="00A32D45" w:rsidP="00AC67F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673A6156" w14:textId="77777777" w:rsidR="00A32D45" w:rsidRPr="00CD1DFD" w:rsidRDefault="00A32D45" w:rsidP="00AC67F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45B51CA0" w14:textId="77777777" w:rsidR="00A32D45" w:rsidRPr="00CD1DFD" w:rsidRDefault="00A32D45" w:rsidP="00AC67F1">
            <w:pPr>
              <w:jc w:val="center"/>
              <w:rPr>
                <w:rFonts w:cs="Arial"/>
                <w:b/>
              </w:rPr>
            </w:pPr>
            <w:r w:rsidRPr="00CD1DFD">
              <w:rPr>
                <w:rFonts w:cs="Arial"/>
                <w:b/>
              </w:rPr>
              <w:t>£m</w:t>
            </w:r>
          </w:p>
        </w:tc>
        <w:tc>
          <w:tcPr>
            <w:tcW w:w="1440" w:type="dxa"/>
            <w:tcBorders>
              <w:top w:val="nil"/>
            </w:tcBorders>
            <w:shd w:val="clear" w:color="auto" w:fill="A6A6A6" w:themeFill="background1" w:themeFillShade="A6"/>
          </w:tcPr>
          <w:p w14:paraId="5017EDAE" w14:textId="77777777" w:rsidR="00A32D45" w:rsidRPr="00CD1DFD" w:rsidRDefault="00A32D45" w:rsidP="00AC67F1">
            <w:pPr>
              <w:jc w:val="center"/>
              <w:rPr>
                <w:rFonts w:cs="Arial"/>
                <w:b/>
              </w:rPr>
            </w:pPr>
            <w:r w:rsidRPr="00CD1DFD">
              <w:rPr>
                <w:rFonts w:cs="Arial"/>
                <w:b/>
              </w:rPr>
              <w:t>£m</w:t>
            </w:r>
          </w:p>
        </w:tc>
      </w:tr>
      <w:tr w:rsidR="00A32D45" w:rsidRPr="00CD1DFD" w14:paraId="537A542C" w14:textId="77777777" w:rsidTr="00AC67F1">
        <w:tc>
          <w:tcPr>
            <w:tcW w:w="3256" w:type="dxa"/>
          </w:tcPr>
          <w:p w14:paraId="21D1F37D" w14:textId="77777777" w:rsidR="00A32D45" w:rsidRPr="00CD1DFD" w:rsidRDefault="00A32D45" w:rsidP="00AC67F1">
            <w:pPr>
              <w:rPr>
                <w:rFonts w:cs="Arial"/>
              </w:rPr>
            </w:pPr>
            <w:r w:rsidRPr="00CD1DFD">
              <w:rPr>
                <w:rFonts w:cs="Arial"/>
              </w:rPr>
              <w:t>Increase in Income</w:t>
            </w:r>
          </w:p>
        </w:tc>
        <w:tc>
          <w:tcPr>
            <w:tcW w:w="1440" w:type="dxa"/>
          </w:tcPr>
          <w:p w14:paraId="0E76C1F4" w14:textId="5D1E5D8D" w:rsidR="00A32D45" w:rsidRPr="00CD1DFD" w:rsidRDefault="00A32D45" w:rsidP="004C00D2">
            <w:pPr>
              <w:jc w:val="right"/>
              <w:rPr>
                <w:rFonts w:cs="Arial"/>
              </w:rPr>
            </w:pPr>
            <w:r w:rsidRPr="00CD1DFD">
              <w:rPr>
                <w:rFonts w:cs="Arial"/>
              </w:rPr>
              <w:t>18.44</w:t>
            </w:r>
            <w:r w:rsidR="004C00D2">
              <w:rPr>
                <w:rFonts w:cs="Arial"/>
              </w:rPr>
              <w:t>4</w:t>
            </w:r>
          </w:p>
        </w:tc>
        <w:tc>
          <w:tcPr>
            <w:tcW w:w="1440" w:type="dxa"/>
          </w:tcPr>
          <w:p w14:paraId="7CFB6250" w14:textId="77777777" w:rsidR="00A32D45" w:rsidRPr="00CD1DFD" w:rsidRDefault="00A32D45" w:rsidP="00AC67F1">
            <w:pPr>
              <w:jc w:val="right"/>
              <w:rPr>
                <w:rFonts w:cs="Arial"/>
              </w:rPr>
            </w:pPr>
            <w:r w:rsidRPr="00CD1DFD">
              <w:rPr>
                <w:rFonts w:cs="Arial"/>
              </w:rPr>
              <w:t>39.092</w:t>
            </w:r>
          </w:p>
        </w:tc>
        <w:tc>
          <w:tcPr>
            <w:tcW w:w="1440" w:type="dxa"/>
          </w:tcPr>
          <w:p w14:paraId="52F78B80" w14:textId="77777777" w:rsidR="00A32D45" w:rsidRPr="00CD1DFD" w:rsidRDefault="00A32D45" w:rsidP="00AC67F1">
            <w:pPr>
              <w:jc w:val="right"/>
              <w:rPr>
                <w:rFonts w:cs="Arial"/>
              </w:rPr>
            </w:pPr>
            <w:r w:rsidRPr="00CD1DFD">
              <w:rPr>
                <w:rFonts w:cs="Arial"/>
              </w:rPr>
              <w:t>60.821</w:t>
            </w:r>
          </w:p>
        </w:tc>
        <w:tc>
          <w:tcPr>
            <w:tcW w:w="1440" w:type="dxa"/>
          </w:tcPr>
          <w:p w14:paraId="7DAF91D3" w14:textId="77777777" w:rsidR="00A32D45" w:rsidRPr="00CD1DFD" w:rsidRDefault="00A32D45" w:rsidP="00AC67F1">
            <w:pPr>
              <w:jc w:val="right"/>
              <w:rPr>
                <w:rFonts w:cs="Arial"/>
              </w:rPr>
            </w:pPr>
            <w:r w:rsidRPr="00CD1DFD">
              <w:rPr>
                <w:rFonts w:cs="Arial"/>
              </w:rPr>
              <w:t>83.695</w:t>
            </w:r>
          </w:p>
        </w:tc>
      </w:tr>
      <w:tr w:rsidR="00A32D45" w:rsidRPr="00CD1DFD" w14:paraId="0BF93798" w14:textId="77777777" w:rsidTr="00AC67F1">
        <w:tc>
          <w:tcPr>
            <w:tcW w:w="3256" w:type="dxa"/>
          </w:tcPr>
          <w:p w14:paraId="16FBF407" w14:textId="77777777" w:rsidR="00A32D45" w:rsidRPr="00CD1DFD" w:rsidRDefault="00A32D45" w:rsidP="00AC67F1">
            <w:pPr>
              <w:rPr>
                <w:rFonts w:cs="Arial"/>
              </w:rPr>
            </w:pPr>
            <w:r w:rsidRPr="00CD1DFD">
              <w:rPr>
                <w:rFonts w:cs="Arial"/>
              </w:rPr>
              <w:t>Impact on the Funding Gap</w:t>
            </w:r>
          </w:p>
        </w:tc>
        <w:tc>
          <w:tcPr>
            <w:tcW w:w="1440" w:type="dxa"/>
          </w:tcPr>
          <w:p w14:paraId="5ACD746D" w14:textId="6DD2D857" w:rsidR="00A32D45" w:rsidRPr="00CD1DFD" w:rsidRDefault="004C00D2" w:rsidP="00AC67F1">
            <w:pPr>
              <w:jc w:val="right"/>
              <w:rPr>
                <w:rFonts w:cs="Arial"/>
              </w:rPr>
            </w:pPr>
            <w:r>
              <w:rPr>
                <w:rFonts w:cs="Arial"/>
              </w:rPr>
              <w:t>18.444</w:t>
            </w:r>
          </w:p>
        </w:tc>
        <w:tc>
          <w:tcPr>
            <w:tcW w:w="1440" w:type="dxa"/>
          </w:tcPr>
          <w:p w14:paraId="16F8692B" w14:textId="77777777" w:rsidR="00A32D45" w:rsidRPr="00CD1DFD" w:rsidRDefault="00A32D45" w:rsidP="00AC67F1">
            <w:pPr>
              <w:jc w:val="right"/>
              <w:rPr>
                <w:rFonts w:cs="Arial"/>
              </w:rPr>
            </w:pPr>
            <w:r w:rsidRPr="00CD1DFD">
              <w:rPr>
                <w:rFonts w:cs="Arial"/>
              </w:rPr>
              <w:t>20.647</w:t>
            </w:r>
          </w:p>
        </w:tc>
        <w:tc>
          <w:tcPr>
            <w:tcW w:w="1440" w:type="dxa"/>
          </w:tcPr>
          <w:p w14:paraId="52E75BDB" w14:textId="77777777" w:rsidR="00A32D45" w:rsidRPr="00CD1DFD" w:rsidRDefault="00A32D45" w:rsidP="00AC67F1">
            <w:pPr>
              <w:jc w:val="right"/>
              <w:rPr>
                <w:rFonts w:cs="Arial"/>
              </w:rPr>
            </w:pPr>
            <w:r w:rsidRPr="00CD1DFD">
              <w:rPr>
                <w:rFonts w:cs="Arial"/>
              </w:rPr>
              <w:t>21.729</w:t>
            </w:r>
          </w:p>
        </w:tc>
        <w:tc>
          <w:tcPr>
            <w:tcW w:w="1440" w:type="dxa"/>
          </w:tcPr>
          <w:p w14:paraId="10BBB41B" w14:textId="77777777" w:rsidR="00A32D45" w:rsidRPr="00CD1DFD" w:rsidRDefault="00A32D45" w:rsidP="00AC67F1">
            <w:pPr>
              <w:jc w:val="right"/>
              <w:rPr>
                <w:rFonts w:cs="Arial"/>
              </w:rPr>
            </w:pPr>
            <w:r w:rsidRPr="00CD1DFD">
              <w:rPr>
                <w:rFonts w:cs="Arial"/>
              </w:rPr>
              <w:t>22.874</w:t>
            </w:r>
          </w:p>
        </w:tc>
      </w:tr>
    </w:tbl>
    <w:p w14:paraId="537B729E" w14:textId="77777777" w:rsidR="004C00D2" w:rsidRDefault="004C00D2" w:rsidP="00A32D45">
      <w:pPr>
        <w:rPr>
          <w:rFonts w:cs="Arial"/>
          <w:b/>
          <w:u w:val="single"/>
        </w:rPr>
      </w:pPr>
    </w:p>
    <w:p w14:paraId="287F3E90" w14:textId="77777777" w:rsidR="00A32D45" w:rsidRPr="00CD1DFD" w:rsidRDefault="00A32D45" w:rsidP="00A32D45">
      <w:pPr>
        <w:rPr>
          <w:rFonts w:cs="Arial"/>
          <w:b/>
          <w:u w:val="single"/>
        </w:rPr>
      </w:pPr>
      <w:r w:rsidRPr="00CD1DFD">
        <w:rPr>
          <w:rFonts w:cs="Arial"/>
          <w:b/>
          <w:u w:val="single"/>
        </w:rPr>
        <w:t>New Homes Bonus</w:t>
      </w:r>
    </w:p>
    <w:p w14:paraId="348FDAFA" w14:textId="29E18D4E" w:rsidR="00A32D45" w:rsidRPr="00CD1DFD" w:rsidRDefault="00A32D45" w:rsidP="00A32D45">
      <w:pPr>
        <w:rPr>
          <w:rFonts w:cs="Arial"/>
        </w:rPr>
      </w:pPr>
      <w:r w:rsidRPr="00CD1DFD">
        <w:rPr>
          <w:rFonts w:cs="Arial"/>
        </w:rPr>
        <w:t>The 2016/17 Local Government Finance Settlement included an actual New Homes Bonus figure for 2016/17 and indicative allocation for 2017/18 to 2019/20. These future years' form the basis of the MTFS. They are lower in later years to reflect a reduction in the total funding allocated.  However, the New Homes Bonus System</w:t>
      </w:r>
      <w:r w:rsidR="00270A7A">
        <w:rPr>
          <w:rFonts w:cs="Arial"/>
        </w:rPr>
        <w:t xml:space="preserve"> (NHB)</w:t>
      </w:r>
      <w:r w:rsidRPr="00CD1DFD">
        <w:rPr>
          <w:rFonts w:cs="Arial"/>
        </w:rPr>
        <w:t xml:space="preserve"> is subject to change and actual allocations will depend upon the outcome of the consultation that was undertaken earlier in 2016 and also the impact of future local growth. At this stage it is still the best information available for NHB allocations.</w:t>
      </w:r>
    </w:p>
    <w:p w14:paraId="0DD0794C" w14:textId="77777777" w:rsidR="00A32D45" w:rsidRDefault="00A32D45" w:rsidP="00A32D45">
      <w:pPr>
        <w:rPr>
          <w:rFonts w:cs="Arial"/>
          <w:b/>
          <w:u w:val="single"/>
        </w:rPr>
      </w:pPr>
    </w:p>
    <w:p w14:paraId="11CA0F3C" w14:textId="77777777" w:rsidR="00A32D45" w:rsidRPr="00CD1DFD" w:rsidRDefault="00A32D45" w:rsidP="008676D4">
      <w:pPr>
        <w:spacing w:after="0"/>
        <w:rPr>
          <w:rFonts w:cs="Arial"/>
          <w:b/>
          <w:u w:val="single"/>
        </w:rPr>
      </w:pPr>
      <w:r w:rsidRPr="00CD1DFD">
        <w:rPr>
          <w:rFonts w:cs="Arial"/>
          <w:b/>
          <w:u w:val="single"/>
        </w:rPr>
        <w:t>Better Care Fund/ Transitional Grant</w:t>
      </w:r>
    </w:p>
    <w:p w14:paraId="025BA78F" w14:textId="081ACE5D" w:rsidR="00A32D45" w:rsidRDefault="00A32D45" w:rsidP="008676D4">
      <w:pPr>
        <w:spacing w:after="0"/>
        <w:rPr>
          <w:rFonts w:cs="Arial"/>
        </w:rPr>
      </w:pPr>
      <w:r w:rsidRPr="00CD1DFD">
        <w:rPr>
          <w:rFonts w:cs="Arial"/>
        </w:rPr>
        <w:t>The MTFS is based on indicative data in the last Settlement and therefore represent the best estimate available.</w:t>
      </w:r>
    </w:p>
    <w:p w14:paraId="630A78BC" w14:textId="77777777" w:rsidR="008676D4" w:rsidRPr="008676D4" w:rsidRDefault="008676D4" w:rsidP="008676D4">
      <w:pPr>
        <w:spacing w:after="0"/>
        <w:rPr>
          <w:rFonts w:cs="Arial"/>
        </w:rPr>
      </w:pPr>
    </w:p>
    <w:p w14:paraId="1137D08D" w14:textId="77777777" w:rsidR="00A32D45" w:rsidRPr="001E485A" w:rsidRDefault="00A32D45" w:rsidP="008676D4">
      <w:pPr>
        <w:spacing w:after="0"/>
        <w:rPr>
          <w:rFonts w:cs="Arial"/>
          <w:b/>
          <w:u w:val="single"/>
        </w:rPr>
      </w:pPr>
      <w:r w:rsidRPr="001E485A">
        <w:rPr>
          <w:rFonts w:cs="Arial"/>
          <w:b/>
          <w:u w:val="single"/>
        </w:rPr>
        <w:t>Capital Receipts</w:t>
      </w:r>
    </w:p>
    <w:p w14:paraId="73C6E63C" w14:textId="77777777" w:rsidR="009A4411" w:rsidRPr="001E485A" w:rsidRDefault="009A4411" w:rsidP="009A4411">
      <w:pPr>
        <w:tabs>
          <w:tab w:val="left" w:pos="567"/>
          <w:tab w:val="left" w:pos="1134"/>
        </w:tabs>
        <w:spacing w:after="0"/>
        <w:rPr>
          <w:rFonts w:cs="Arial"/>
        </w:rPr>
      </w:pPr>
    </w:p>
    <w:p w14:paraId="03E41C4D" w14:textId="0CCE680F" w:rsidR="009A4411" w:rsidRPr="001E485A" w:rsidRDefault="009A4411" w:rsidP="009A4411">
      <w:pPr>
        <w:tabs>
          <w:tab w:val="left" w:pos="567"/>
          <w:tab w:val="left" w:pos="1134"/>
        </w:tabs>
        <w:spacing w:after="0"/>
        <w:rPr>
          <w:rFonts w:cs="Arial"/>
        </w:rPr>
      </w:pPr>
      <w:r w:rsidRPr="001E485A">
        <w:rPr>
          <w:rFonts w:cs="Arial"/>
        </w:rPr>
        <w:t xml:space="preserve">As part of the Autumn Statement the Chancellor of the Exchequer announced that the rules for the use of capital receipts, which is the income received from the sale of the County Council's fixed assets, were to be amended to help local authorities deliver more efficient and sustainable services. </w:t>
      </w:r>
      <w:r w:rsidR="00E3540A" w:rsidRPr="001E485A">
        <w:rPr>
          <w:rFonts w:cs="Arial"/>
        </w:rPr>
        <w:t xml:space="preserve">Previously </w:t>
      </w:r>
      <w:r w:rsidRPr="001E485A">
        <w:rPr>
          <w:rFonts w:cs="Arial"/>
        </w:rPr>
        <w:t xml:space="preserve">the use of capital receipts </w:t>
      </w:r>
      <w:r w:rsidR="00E3540A" w:rsidRPr="001E485A">
        <w:rPr>
          <w:rFonts w:cs="Arial"/>
        </w:rPr>
        <w:t>has been</w:t>
      </w:r>
      <w:r w:rsidRPr="001E485A">
        <w:rPr>
          <w:rFonts w:cs="Arial"/>
        </w:rPr>
        <w:t xml:space="preserve"> restricted to the funding of capital expenditure or the repayment of debt. From 1 April 2016 capital receipts can be used to fund revenue expenditure which meets qualifying criteria</w:t>
      </w:r>
      <w:r w:rsidR="00E3540A" w:rsidRPr="001E485A">
        <w:rPr>
          <w:rFonts w:cs="Arial"/>
        </w:rPr>
        <w:t xml:space="preserve">, which is that </w:t>
      </w:r>
      <w:r w:rsidRPr="001E485A">
        <w:rPr>
          <w:rFonts w:cs="Arial"/>
        </w:rPr>
        <w:t>the revenue expenditure needs to be on any project which is designed to generate ongoing revenue savings or to transform the service so as to make savings or improve the quality of service provision.</w:t>
      </w:r>
    </w:p>
    <w:p w14:paraId="611E6E64" w14:textId="77777777" w:rsidR="009A4411" w:rsidRPr="001E485A" w:rsidRDefault="009A4411" w:rsidP="009A4411">
      <w:pPr>
        <w:tabs>
          <w:tab w:val="left" w:pos="567"/>
          <w:tab w:val="left" w:pos="1134"/>
        </w:tabs>
        <w:spacing w:after="0"/>
        <w:rPr>
          <w:rFonts w:cs="Arial"/>
        </w:rPr>
      </w:pPr>
    </w:p>
    <w:p w14:paraId="677DE9E9" w14:textId="77777777" w:rsidR="009A4411" w:rsidRPr="001E485A" w:rsidRDefault="009A4411" w:rsidP="009A4411">
      <w:pPr>
        <w:tabs>
          <w:tab w:val="left" w:pos="567"/>
          <w:tab w:val="left" w:pos="1134"/>
        </w:tabs>
        <w:spacing w:after="0"/>
        <w:rPr>
          <w:rFonts w:cs="Arial"/>
        </w:rPr>
      </w:pPr>
      <w:r w:rsidRPr="001E485A">
        <w:rPr>
          <w:rFonts w:cs="Arial"/>
        </w:rPr>
        <w:t xml:space="preserve">Local authorities will only be able to use capital receipts from the sale of property, plant and equipment received in the years in which this flexibility is offered. They may not use their existing stock of capital receipts to finance the revenue costs of reform. </w:t>
      </w:r>
    </w:p>
    <w:p w14:paraId="64838BF3" w14:textId="77777777" w:rsidR="009A4411" w:rsidRPr="001E485A" w:rsidRDefault="009A4411" w:rsidP="009A4411">
      <w:pPr>
        <w:tabs>
          <w:tab w:val="left" w:pos="567"/>
          <w:tab w:val="left" w:pos="1134"/>
        </w:tabs>
        <w:spacing w:after="0"/>
        <w:rPr>
          <w:rFonts w:cs="Arial"/>
        </w:rPr>
      </w:pPr>
    </w:p>
    <w:p w14:paraId="259CD03B" w14:textId="77777777" w:rsidR="009A4411" w:rsidRPr="001E485A" w:rsidRDefault="009A4411" w:rsidP="009A4411">
      <w:pPr>
        <w:tabs>
          <w:tab w:val="left" w:pos="567"/>
          <w:tab w:val="left" w:pos="1134"/>
        </w:tabs>
        <w:spacing w:after="0"/>
        <w:rPr>
          <w:rFonts w:cs="Arial"/>
        </w:rPr>
      </w:pPr>
      <w:r w:rsidRPr="001E485A">
        <w:rPr>
          <w:rFonts w:cs="Arial"/>
        </w:rPr>
        <w:t>Current estimates of the capital receipts to be generated are:</w:t>
      </w:r>
    </w:p>
    <w:p w14:paraId="0BED30F1" w14:textId="77777777" w:rsidR="009A4411" w:rsidRPr="001E485A" w:rsidRDefault="009A4411" w:rsidP="009A4411">
      <w:pPr>
        <w:tabs>
          <w:tab w:val="left" w:pos="567"/>
          <w:tab w:val="left" w:pos="1134"/>
        </w:tabs>
        <w:spacing w:after="0"/>
        <w:rPr>
          <w:rFonts w:cs="Arial"/>
        </w:rPr>
      </w:pPr>
    </w:p>
    <w:tbl>
      <w:tblPr>
        <w:tblStyle w:val="TableGrid"/>
        <w:tblW w:w="0" w:type="auto"/>
        <w:tblLook w:val="04A0" w:firstRow="1" w:lastRow="0" w:firstColumn="1" w:lastColumn="0" w:noHBand="0" w:noVBand="1"/>
      </w:tblPr>
      <w:tblGrid>
        <w:gridCol w:w="2246"/>
        <w:gridCol w:w="2246"/>
        <w:gridCol w:w="2246"/>
        <w:gridCol w:w="2246"/>
      </w:tblGrid>
      <w:tr w:rsidR="009A4411" w:rsidRPr="001E485A" w14:paraId="098E31AD" w14:textId="77777777" w:rsidTr="00AC67F1">
        <w:trPr>
          <w:trHeight w:val="236"/>
        </w:trPr>
        <w:tc>
          <w:tcPr>
            <w:tcW w:w="2246" w:type="dxa"/>
            <w:shd w:val="clear" w:color="auto" w:fill="BFBFBF" w:themeFill="background1" w:themeFillShade="BF"/>
          </w:tcPr>
          <w:p w14:paraId="257B484C" w14:textId="77777777" w:rsidR="009A4411" w:rsidRPr="001E485A" w:rsidRDefault="009A4411" w:rsidP="00AC67F1">
            <w:pPr>
              <w:tabs>
                <w:tab w:val="left" w:pos="567"/>
                <w:tab w:val="left" w:pos="1134"/>
              </w:tabs>
              <w:spacing w:after="0"/>
              <w:rPr>
                <w:rFonts w:cs="Arial"/>
                <w:b/>
                <w:sz w:val="22"/>
                <w:szCs w:val="22"/>
              </w:rPr>
            </w:pPr>
          </w:p>
        </w:tc>
        <w:tc>
          <w:tcPr>
            <w:tcW w:w="2246" w:type="dxa"/>
            <w:shd w:val="clear" w:color="auto" w:fill="BFBFBF" w:themeFill="background1" w:themeFillShade="BF"/>
          </w:tcPr>
          <w:p w14:paraId="05914EAD" w14:textId="77777777" w:rsidR="009A4411" w:rsidRPr="001E485A" w:rsidRDefault="009A4411" w:rsidP="00AC67F1">
            <w:pPr>
              <w:tabs>
                <w:tab w:val="left" w:pos="567"/>
                <w:tab w:val="left" w:pos="1134"/>
              </w:tabs>
              <w:spacing w:after="0"/>
              <w:jc w:val="center"/>
              <w:rPr>
                <w:rFonts w:cs="Arial"/>
                <w:b/>
                <w:sz w:val="22"/>
                <w:szCs w:val="22"/>
              </w:rPr>
            </w:pPr>
            <w:r w:rsidRPr="001E485A">
              <w:rPr>
                <w:rFonts w:cs="Arial"/>
                <w:b/>
                <w:sz w:val="22"/>
                <w:szCs w:val="22"/>
              </w:rPr>
              <w:t>2016/17</w:t>
            </w:r>
          </w:p>
          <w:p w14:paraId="3283E5C4" w14:textId="77777777" w:rsidR="009A4411" w:rsidRPr="001E485A" w:rsidRDefault="009A4411" w:rsidP="00AC67F1">
            <w:pPr>
              <w:tabs>
                <w:tab w:val="left" w:pos="567"/>
                <w:tab w:val="left" w:pos="1134"/>
              </w:tabs>
              <w:spacing w:after="0"/>
              <w:jc w:val="center"/>
              <w:rPr>
                <w:rFonts w:cs="Arial"/>
                <w:b/>
                <w:sz w:val="22"/>
                <w:szCs w:val="22"/>
              </w:rPr>
            </w:pPr>
            <w:r w:rsidRPr="001E485A">
              <w:rPr>
                <w:rFonts w:cs="Arial"/>
                <w:b/>
                <w:sz w:val="22"/>
                <w:szCs w:val="22"/>
              </w:rPr>
              <w:t>£m</w:t>
            </w:r>
          </w:p>
        </w:tc>
        <w:tc>
          <w:tcPr>
            <w:tcW w:w="2246" w:type="dxa"/>
            <w:shd w:val="clear" w:color="auto" w:fill="BFBFBF" w:themeFill="background1" w:themeFillShade="BF"/>
          </w:tcPr>
          <w:p w14:paraId="09125C69" w14:textId="77777777" w:rsidR="009A4411" w:rsidRPr="001E485A" w:rsidRDefault="009A4411" w:rsidP="00AC67F1">
            <w:pPr>
              <w:tabs>
                <w:tab w:val="left" w:pos="567"/>
                <w:tab w:val="left" w:pos="1134"/>
              </w:tabs>
              <w:spacing w:after="0"/>
              <w:jc w:val="center"/>
              <w:rPr>
                <w:rFonts w:cs="Arial"/>
                <w:b/>
                <w:sz w:val="22"/>
                <w:szCs w:val="22"/>
              </w:rPr>
            </w:pPr>
            <w:r w:rsidRPr="001E485A">
              <w:rPr>
                <w:rFonts w:cs="Arial"/>
                <w:b/>
                <w:sz w:val="22"/>
                <w:szCs w:val="22"/>
              </w:rPr>
              <w:t>2017/18</w:t>
            </w:r>
          </w:p>
          <w:p w14:paraId="206FD135" w14:textId="77777777" w:rsidR="009A4411" w:rsidRPr="001E485A" w:rsidRDefault="009A4411" w:rsidP="00AC67F1">
            <w:pPr>
              <w:tabs>
                <w:tab w:val="left" w:pos="567"/>
                <w:tab w:val="left" w:pos="1134"/>
              </w:tabs>
              <w:spacing w:after="0"/>
              <w:jc w:val="center"/>
              <w:rPr>
                <w:rFonts w:cs="Arial"/>
                <w:b/>
                <w:sz w:val="22"/>
                <w:szCs w:val="22"/>
              </w:rPr>
            </w:pPr>
            <w:r w:rsidRPr="001E485A">
              <w:rPr>
                <w:rFonts w:cs="Arial"/>
                <w:b/>
                <w:sz w:val="22"/>
                <w:szCs w:val="22"/>
              </w:rPr>
              <w:t>£m</w:t>
            </w:r>
          </w:p>
        </w:tc>
        <w:tc>
          <w:tcPr>
            <w:tcW w:w="2246" w:type="dxa"/>
            <w:shd w:val="clear" w:color="auto" w:fill="BFBFBF" w:themeFill="background1" w:themeFillShade="BF"/>
          </w:tcPr>
          <w:p w14:paraId="7CB9A668" w14:textId="77777777" w:rsidR="009A4411" w:rsidRPr="001E485A" w:rsidRDefault="009A4411" w:rsidP="00AC67F1">
            <w:pPr>
              <w:tabs>
                <w:tab w:val="left" w:pos="567"/>
                <w:tab w:val="left" w:pos="1134"/>
              </w:tabs>
              <w:spacing w:after="0"/>
              <w:jc w:val="center"/>
              <w:rPr>
                <w:rFonts w:cs="Arial"/>
                <w:b/>
                <w:sz w:val="22"/>
                <w:szCs w:val="22"/>
              </w:rPr>
            </w:pPr>
            <w:r w:rsidRPr="001E485A">
              <w:rPr>
                <w:rFonts w:cs="Arial"/>
                <w:b/>
                <w:sz w:val="22"/>
                <w:szCs w:val="22"/>
              </w:rPr>
              <w:t>2018/19</w:t>
            </w:r>
          </w:p>
          <w:p w14:paraId="7931E0E9" w14:textId="77777777" w:rsidR="009A4411" w:rsidRPr="001E485A" w:rsidRDefault="009A4411" w:rsidP="00AC67F1">
            <w:pPr>
              <w:tabs>
                <w:tab w:val="left" w:pos="567"/>
                <w:tab w:val="left" w:pos="1134"/>
              </w:tabs>
              <w:spacing w:after="0"/>
              <w:jc w:val="center"/>
              <w:rPr>
                <w:rFonts w:cs="Arial"/>
                <w:b/>
                <w:sz w:val="22"/>
                <w:szCs w:val="22"/>
              </w:rPr>
            </w:pPr>
            <w:r w:rsidRPr="001E485A">
              <w:rPr>
                <w:rFonts w:cs="Arial"/>
                <w:b/>
                <w:sz w:val="22"/>
                <w:szCs w:val="22"/>
              </w:rPr>
              <w:t>£m</w:t>
            </w:r>
          </w:p>
        </w:tc>
      </w:tr>
      <w:tr w:rsidR="009A4411" w:rsidRPr="001E485A" w14:paraId="2DF5A2B5" w14:textId="77777777" w:rsidTr="00AC67F1">
        <w:trPr>
          <w:trHeight w:val="579"/>
        </w:trPr>
        <w:tc>
          <w:tcPr>
            <w:tcW w:w="2246" w:type="dxa"/>
            <w:vAlign w:val="center"/>
          </w:tcPr>
          <w:p w14:paraId="2F146409" w14:textId="77777777" w:rsidR="009A4411" w:rsidRPr="001E485A" w:rsidRDefault="009A4411" w:rsidP="00AC67F1">
            <w:pPr>
              <w:tabs>
                <w:tab w:val="left" w:pos="567"/>
                <w:tab w:val="left" w:pos="1134"/>
              </w:tabs>
              <w:spacing w:after="0"/>
              <w:jc w:val="left"/>
              <w:rPr>
                <w:rFonts w:cs="Arial"/>
              </w:rPr>
            </w:pPr>
            <w:r w:rsidRPr="001E485A">
              <w:rPr>
                <w:rFonts w:cs="Arial"/>
              </w:rPr>
              <w:t>Capital receipts generated</w:t>
            </w:r>
          </w:p>
        </w:tc>
        <w:tc>
          <w:tcPr>
            <w:tcW w:w="2246" w:type="dxa"/>
            <w:vAlign w:val="center"/>
          </w:tcPr>
          <w:p w14:paraId="3C4E6ADC" w14:textId="79E13277" w:rsidR="009A4411" w:rsidRPr="001E485A" w:rsidRDefault="009A4411" w:rsidP="00AC67F1">
            <w:pPr>
              <w:tabs>
                <w:tab w:val="left" w:pos="567"/>
                <w:tab w:val="left" w:pos="1134"/>
              </w:tabs>
              <w:spacing w:after="0"/>
              <w:jc w:val="center"/>
              <w:rPr>
                <w:rFonts w:cs="Arial"/>
                <w:sz w:val="22"/>
                <w:szCs w:val="22"/>
              </w:rPr>
            </w:pPr>
            <w:r w:rsidRPr="001E485A">
              <w:rPr>
                <w:rFonts w:cs="Arial"/>
                <w:sz w:val="22"/>
                <w:szCs w:val="22"/>
              </w:rPr>
              <w:t>5.0</w:t>
            </w:r>
            <w:r w:rsidR="001E485A" w:rsidRPr="001E485A">
              <w:rPr>
                <w:rFonts w:cs="Arial"/>
                <w:sz w:val="22"/>
                <w:szCs w:val="22"/>
              </w:rPr>
              <w:t>00</w:t>
            </w:r>
          </w:p>
        </w:tc>
        <w:tc>
          <w:tcPr>
            <w:tcW w:w="2246" w:type="dxa"/>
            <w:vAlign w:val="center"/>
          </w:tcPr>
          <w:p w14:paraId="27665F9A" w14:textId="4F59F82A" w:rsidR="009A4411" w:rsidRPr="001E485A" w:rsidRDefault="009A4411" w:rsidP="00AC67F1">
            <w:pPr>
              <w:tabs>
                <w:tab w:val="left" w:pos="567"/>
                <w:tab w:val="left" w:pos="1134"/>
              </w:tabs>
              <w:spacing w:after="0"/>
              <w:jc w:val="center"/>
              <w:rPr>
                <w:rFonts w:cs="Arial"/>
                <w:sz w:val="22"/>
                <w:szCs w:val="22"/>
              </w:rPr>
            </w:pPr>
            <w:r w:rsidRPr="001E485A">
              <w:rPr>
                <w:rFonts w:cs="Arial"/>
                <w:sz w:val="22"/>
                <w:szCs w:val="22"/>
              </w:rPr>
              <w:t>12.5</w:t>
            </w:r>
            <w:r w:rsidR="001E485A" w:rsidRPr="001E485A">
              <w:rPr>
                <w:rFonts w:cs="Arial"/>
                <w:sz w:val="22"/>
                <w:szCs w:val="22"/>
              </w:rPr>
              <w:t>00</w:t>
            </w:r>
          </w:p>
        </w:tc>
        <w:tc>
          <w:tcPr>
            <w:tcW w:w="2246" w:type="dxa"/>
            <w:vAlign w:val="center"/>
          </w:tcPr>
          <w:p w14:paraId="1D6E5D15" w14:textId="499243B1" w:rsidR="009A4411" w:rsidRPr="001E485A" w:rsidRDefault="009A4411" w:rsidP="00AC67F1">
            <w:pPr>
              <w:tabs>
                <w:tab w:val="left" w:pos="567"/>
                <w:tab w:val="left" w:pos="1134"/>
              </w:tabs>
              <w:spacing w:after="0"/>
              <w:jc w:val="center"/>
              <w:rPr>
                <w:rFonts w:cs="Arial"/>
                <w:sz w:val="22"/>
                <w:szCs w:val="22"/>
              </w:rPr>
            </w:pPr>
            <w:r w:rsidRPr="001E485A">
              <w:rPr>
                <w:rFonts w:cs="Arial"/>
                <w:sz w:val="22"/>
                <w:szCs w:val="22"/>
              </w:rPr>
              <w:t>5.0</w:t>
            </w:r>
            <w:r w:rsidR="001E485A" w:rsidRPr="001E485A">
              <w:rPr>
                <w:rFonts w:cs="Arial"/>
                <w:sz w:val="22"/>
                <w:szCs w:val="22"/>
              </w:rPr>
              <w:t>00</w:t>
            </w:r>
          </w:p>
        </w:tc>
      </w:tr>
    </w:tbl>
    <w:p w14:paraId="436FB672" w14:textId="77777777" w:rsidR="009A4411" w:rsidRPr="001E485A" w:rsidRDefault="009A4411" w:rsidP="009A4411">
      <w:pPr>
        <w:tabs>
          <w:tab w:val="left" w:pos="567"/>
          <w:tab w:val="left" w:pos="1134"/>
        </w:tabs>
        <w:spacing w:after="0"/>
        <w:rPr>
          <w:rFonts w:cs="Arial"/>
        </w:rPr>
      </w:pPr>
      <w:r w:rsidRPr="001E485A">
        <w:rPr>
          <w:rFonts w:cs="Arial"/>
        </w:rPr>
        <w:t xml:space="preserve"> </w:t>
      </w:r>
    </w:p>
    <w:p w14:paraId="07FD3EB2" w14:textId="791BADA1" w:rsidR="009A4411" w:rsidRPr="001E485A" w:rsidRDefault="00E3540A" w:rsidP="009A4411">
      <w:pPr>
        <w:tabs>
          <w:tab w:val="left" w:pos="567"/>
          <w:tab w:val="left" w:pos="1134"/>
        </w:tabs>
        <w:spacing w:after="0"/>
        <w:rPr>
          <w:rFonts w:cs="Arial"/>
        </w:rPr>
      </w:pPr>
      <w:r w:rsidRPr="001E485A">
        <w:rPr>
          <w:rFonts w:cs="Arial"/>
        </w:rPr>
        <w:t>An</w:t>
      </w:r>
      <w:r w:rsidR="009A4411" w:rsidRPr="001E485A">
        <w:rPr>
          <w:rFonts w:cs="Arial"/>
        </w:rPr>
        <w:t xml:space="preserve"> estimated £22.5</w:t>
      </w:r>
      <w:r w:rsidR="001E485A">
        <w:rPr>
          <w:rFonts w:cs="Arial"/>
        </w:rPr>
        <w:t>00</w:t>
      </w:r>
      <w:r w:rsidR="009A4411" w:rsidRPr="001E485A">
        <w:rPr>
          <w:rFonts w:cs="Arial"/>
        </w:rPr>
        <w:t xml:space="preserve">m </w:t>
      </w:r>
      <w:r w:rsidRPr="001E485A">
        <w:rPr>
          <w:rFonts w:cs="Arial"/>
        </w:rPr>
        <w:t xml:space="preserve">has previously been agreed to </w:t>
      </w:r>
      <w:r w:rsidR="009A4411" w:rsidRPr="001E485A">
        <w:rPr>
          <w:rFonts w:cs="Arial"/>
        </w:rPr>
        <w:t>b</w:t>
      </w:r>
      <w:r w:rsidR="0001056B" w:rsidRPr="001E485A">
        <w:rPr>
          <w:rFonts w:cs="Arial"/>
        </w:rPr>
        <w:t>e applied to the revenue budget.</w:t>
      </w:r>
      <w:r w:rsidR="001E485A">
        <w:rPr>
          <w:rFonts w:cs="Arial"/>
        </w:rPr>
        <w:t xml:space="preserve"> </w:t>
      </w:r>
      <w:r w:rsidR="009A4411" w:rsidRPr="001E485A">
        <w:rPr>
          <w:rFonts w:cs="Arial"/>
        </w:rPr>
        <w:t xml:space="preserve">It should be noted that the receipts are one-off resources and there is a possibility that the level of receipts to be generated from the sale of assets will not be maintained at these levels for a sustained period of time. The actual receipts received in any one year will fluctuate in line with local property markets and the type of asset </w:t>
      </w:r>
      <w:r w:rsidR="009A4411" w:rsidRPr="001E485A">
        <w:rPr>
          <w:rFonts w:cs="Arial"/>
        </w:rPr>
        <w:lastRenderedPageBreak/>
        <w:t>available for sale. Therefore, there is a risk that in any given year the receipts actually received will be less than assumed and therefore the situation will be monitored closely.</w:t>
      </w:r>
    </w:p>
    <w:p w14:paraId="195AF341" w14:textId="77777777" w:rsidR="009A4411" w:rsidRPr="001E485A" w:rsidRDefault="009A4411" w:rsidP="009A4411">
      <w:pPr>
        <w:tabs>
          <w:tab w:val="left" w:pos="567"/>
          <w:tab w:val="left" w:pos="1134"/>
        </w:tabs>
        <w:spacing w:after="0"/>
        <w:rPr>
          <w:rFonts w:cs="Arial"/>
        </w:rPr>
      </w:pPr>
    </w:p>
    <w:p w14:paraId="5132CE1E" w14:textId="50341A49" w:rsidR="009A4411" w:rsidRPr="001E485A" w:rsidRDefault="009A4411" w:rsidP="009A4411">
      <w:pPr>
        <w:tabs>
          <w:tab w:val="left" w:pos="567"/>
          <w:tab w:val="left" w:pos="1134"/>
        </w:tabs>
        <w:spacing w:after="0"/>
        <w:rPr>
          <w:rFonts w:cs="Arial"/>
        </w:rPr>
      </w:pPr>
      <w:r w:rsidRPr="001E485A">
        <w:rPr>
          <w:rFonts w:cs="Arial"/>
        </w:rPr>
        <w:t xml:space="preserve">The funding gap shown in section 1.1 already assumes the use of these receipts. This is subject to the approval of the recommendation that the capital receipts are </w:t>
      </w:r>
      <w:r w:rsidR="001E485A" w:rsidRPr="001E485A">
        <w:rPr>
          <w:rFonts w:cs="Arial"/>
        </w:rPr>
        <w:t>applied to</w:t>
      </w:r>
      <w:r w:rsidRPr="001E485A">
        <w:rPr>
          <w:rFonts w:cs="Arial"/>
        </w:rPr>
        <w:t xml:space="preserve"> revenue as outlined above.</w:t>
      </w:r>
    </w:p>
    <w:p w14:paraId="32A75F28" w14:textId="77777777" w:rsidR="009A4411" w:rsidRPr="008676D4" w:rsidRDefault="009A4411" w:rsidP="008676D4">
      <w:pPr>
        <w:spacing w:after="0"/>
        <w:rPr>
          <w:rFonts w:cs="Arial"/>
          <w:b/>
          <w:highlight w:val="yellow"/>
          <w:u w:val="single"/>
        </w:rPr>
      </w:pPr>
    </w:p>
    <w:p w14:paraId="0E5A176E" w14:textId="5CD5734A" w:rsidR="00A32D45" w:rsidRDefault="00A32D45" w:rsidP="00A32D45">
      <w:pPr>
        <w:rPr>
          <w:rFonts w:cs="Arial"/>
        </w:rPr>
      </w:pPr>
      <w:r w:rsidRPr="00CD1DFD">
        <w:rPr>
          <w:rFonts w:cs="Arial"/>
        </w:rPr>
        <w:t>Based on the potential increases outlined above the funding gap would be reduced by £85.7</w:t>
      </w:r>
      <w:r w:rsidR="009A4411">
        <w:rPr>
          <w:rFonts w:cs="Arial"/>
        </w:rPr>
        <w:t>81</w:t>
      </w:r>
      <w:r w:rsidRPr="00CD1DFD">
        <w:rPr>
          <w:rFonts w:cs="Arial"/>
        </w:rPr>
        <w:t>m</w:t>
      </w:r>
      <w:r w:rsidR="001E485A">
        <w:rPr>
          <w:rFonts w:cs="Arial"/>
        </w:rPr>
        <w:t xml:space="preserve"> from changes in resourcing</w:t>
      </w:r>
      <w:r w:rsidRPr="00CD1DFD">
        <w:rPr>
          <w:rFonts w:cs="Arial"/>
        </w:rPr>
        <w:t>.  This is primarily due to the assumed increase in Council Tax</w:t>
      </w:r>
      <w:r w:rsidR="001E485A">
        <w:rPr>
          <w:rFonts w:cs="Arial"/>
        </w:rPr>
        <w:t>. The breakdown is shown below:</w:t>
      </w:r>
    </w:p>
    <w:p w14:paraId="03B4C12B" w14:textId="77777777" w:rsidR="001E485A" w:rsidRPr="00CD1DFD" w:rsidRDefault="001E485A" w:rsidP="00A32D45">
      <w:pPr>
        <w:rPr>
          <w:rFonts w:cs="Arial"/>
        </w:rPr>
      </w:pPr>
    </w:p>
    <w:tbl>
      <w:tblPr>
        <w:tblStyle w:val="TableGrid"/>
        <w:tblW w:w="0" w:type="auto"/>
        <w:tblLook w:val="04A0" w:firstRow="1" w:lastRow="0" w:firstColumn="1" w:lastColumn="0" w:noHBand="0" w:noVBand="1"/>
      </w:tblPr>
      <w:tblGrid>
        <w:gridCol w:w="2830"/>
        <w:gridCol w:w="1237"/>
        <w:gridCol w:w="1237"/>
        <w:gridCol w:w="1237"/>
        <w:gridCol w:w="1237"/>
        <w:gridCol w:w="1238"/>
      </w:tblGrid>
      <w:tr w:rsidR="00A32D45" w:rsidRPr="00CD1DFD" w14:paraId="77D50742" w14:textId="77777777" w:rsidTr="005C03EB">
        <w:tc>
          <w:tcPr>
            <w:tcW w:w="2830" w:type="dxa"/>
            <w:tcBorders>
              <w:bottom w:val="nil"/>
            </w:tcBorders>
            <w:shd w:val="clear" w:color="auto" w:fill="A6A6A6" w:themeFill="background1" w:themeFillShade="A6"/>
          </w:tcPr>
          <w:p w14:paraId="31419FA5" w14:textId="77777777" w:rsidR="00A32D45" w:rsidRPr="00CD1DFD" w:rsidRDefault="00A32D45" w:rsidP="00AC67F1">
            <w:pPr>
              <w:rPr>
                <w:rFonts w:cs="Arial"/>
              </w:rPr>
            </w:pPr>
          </w:p>
        </w:tc>
        <w:tc>
          <w:tcPr>
            <w:tcW w:w="1237" w:type="dxa"/>
            <w:tcBorders>
              <w:bottom w:val="nil"/>
            </w:tcBorders>
            <w:shd w:val="clear" w:color="auto" w:fill="A6A6A6" w:themeFill="background1" w:themeFillShade="A6"/>
          </w:tcPr>
          <w:p w14:paraId="3D9637C3" w14:textId="77777777" w:rsidR="00A32D45" w:rsidRPr="00CD1DFD" w:rsidRDefault="00A32D45" w:rsidP="00AC67F1">
            <w:pPr>
              <w:jc w:val="center"/>
              <w:rPr>
                <w:rFonts w:cs="Arial"/>
                <w:b/>
              </w:rPr>
            </w:pPr>
            <w:r w:rsidRPr="00CD1DFD">
              <w:rPr>
                <w:rFonts w:cs="Arial"/>
                <w:b/>
              </w:rPr>
              <w:t>2017/18</w:t>
            </w:r>
          </w:p>
        </w:tc>
        <w:tc>
          <w:tcPr>
            <w:tcW w:w="1237" w:type="dxa"/>
            <w:tcBorders>
              <w:bottom w:val="nil"/>
            </w:tcBorders>
            <w:shd w:val="clear" w:color="auto" w:fill="A6A6A6" w:themeFill="background1" w:themeFillShade="A6"/>
          </w:tcPr>
          <w:p w14:paraId="46E5FDDE" w14:textId="77777777" w:rsidR="00A32D45" w:rsidRPr="00CD1DFD" w:rsidRDefault="00A32D45" w:rsidP="00AC67F1">
            <w:pPr>
              <w:jc w:val="center"/>
              <w:rPr>
                <w:rFonts w:cs="Arial"/>
                <w:b/>
              </w:rPr>
            </w:pPr>
            <w:r w:rsidRPr="00CD1DFD">
              <w:rPr>
                <w:rFonts w:cs="Arial"/>
                <w:b/>
              </w:rPr>
              <w:t>2018/19</w:t>
            </w:r>
          </w:p>
        </w:tc>
        <w:tc>
          <w:tcPr>
            <w:tcW w:w="1237" w:type="dxa"/>
            <w:tcBorders>
              <w:bottom w:val="nil"/>
            </w:tcBorders>
            <w:shd w:val="clear" w:color="auto" w:fill="A6A6A6" w:themeFill="background1" w:themeFillShade="A6"/>
          </w:tcPr>
          <w:p w14:paraId="0049192D" w14:textId="77777777" w:rsidR="00A32D45" w:rsidRPr="00CD1DFD" w:rsidRDefault="00A32D45" w:rsidP="00AC67F1">
            <w:pPr>
              <w:jc w:val="center"/>
              <w:rPr>
                <w:rFonts w:cs="Arial"/>
                <w:b/>
              </w:rPr>
            </w:pPr>
            <w:r w:rsidRPr="00CD1DFD">
              <w:rPr>
                <w:rFonts w:cs="Arial"/>
                <w:b/>
              </w:rPr>
              <w:t>2019/20</w:t>
            </w:r>
          </w:p>
        </w:tc>
        <w:tc>
          <w:tcPr>
            <w:tcW w:w="1237" w:type="dxa"/>
            <w:tcBorders>
              <w:bottom w:val="nil"/>
            </w:tcBorders>
            <w:shd w:val="clear" w:color="auto" w:fill="A6A6A6" w:themeFill="background1" w:themeFillShade="A6"/>
          </w:tcPr>
          <w:p w14:paraId="0F577990" w14:textId="77777777" w:rsidR="00A32D45" w:rsidRPr="00CD1DFD" w:rsidRDefault="00A32D45" w:rsidP="00AC67F1">
            <w:pPr>
              <w:jc w:val="center"/>
              <w:rPr>
                <w:rFonts w:cs="Arial"/>
                <w:b/>
              </w:rPr>
            </w:pPr>
            <w:r w:rsidRPr="00CD1DFD">
              <w:rPr>
                <w:rFonts w:cs="Arial"/>
                <w:b/>
              </w:rPr>
              <w:t>2020/21</w:t>
            </w:r>
          </w:p>
        </w:tc>
        <w:tc>
          <w:tcPr>
            <w:tcW w:w="1238" w:type="dxa"/>
            <w:tcBorders>
              <w:bottom w:val="nil"/>
            </w:tcBorders>
            <w:shd w:val="clear" w:color="auto" w:fill="A6A6A6" w:themeFill="background1" w:themeFillShade="A6"/>
          </w:tcPr>
          <w:p w14:paraId="29DF5538" w14:textId="77777777" w:rsidR="00A32D45" w:rsidRPr="00CD1DFD" w:rsidRDefault="00A32D45" w:rsidP="00AC67F1">
            <w:pPr>
              <w:jc w:val="center"/>
              <w:rPr>
                <w:rFonts w:cs="Arial"/>
                <w:b/>
              </w:rPr>
            </w:pPr>
            <w:r w:rsidRPr="00CD1DFD">
              <w:rPr>
                <w:rFonts w:cs="Arial"/>
                <w:b/>
              </w:rPr>
              <w:t>Total</w:t>
            </w:r>
          </w:p>
        </w:tc>
      </w:tr>
      <w:tr w:rsidR="00A32D45" w:rsidRPr="00CD1DFD" w14:paraId="29E311E6" w14:textId="77777777" w:rsidTr="005C03EB">
        <w:tc>
          <w:tcPr>
            <w:tcW w:w="2830" w:type="dxa"/>
            <w:tcBorders>
              <w:top w:val="nil"/>
            </w:tcBorders>
            <w:shd w:val="clear" w:color="auto" w:fill="A6A6A6" w:themeFill="background1" w:themeFillShade="A6"/>
          </w:tcPr>
          <w:p w14:paraId="4284710D" w14:textId="77777777" w:rsidR="00A32D45" w:rsidRPr="00CD1DFD" w:rsidRDefault="00A32D45" w:rsidP="00AC67F1">
            <w:pPr>
              <w:rPr>
                <w:rFonts w:cs="Arial"/>
              </w:rPr>
            </w:pPr>
          </w:p>
        </w:tc>
        <w:tc>
          <w:tcPr>
            <w:tcW w:w="1237" w:type="dxa"/>
            <w:tcBorders>
              <w:top w:val="nil"/>
            </w:tcBorders>
            <w:shd w:val="clear" w:color="auto" w:fill="A6A6A6" w:themeFill="background1" w:themeFillShade="A6"/>
          </w:tcPr>
          <w:p w14:paraId="6DF1E626" w14:textId="77777777" w:rsidR="00A32D45" w:rsidRPr="00CD1DFD" w:rsidRDefault="00A32D45" w:rsidP="00AC67F1">
            <w:pPr>
              <w:jc w:val="center"/>
              <w:rPr>
                <w:rFonts w:cs="Arial"/>
                <w:b/>
              </w:rPr>
            </w:pPr>
            <w:r w:rsidRPr="00CD1DFD">
              <w:rPr>
                <w:rFonts w:cs="Arial"/>
                <w:b/>
              </w:rPr>
              <w:t>£m</w:t>
            </w:r>
          </w:p>
        </w:tc>
        <w:tc>
          <w:tcPr>
            <w:tcW w:w="1237" w:type="dxa"/>
            <w:tcBorders>
              <w:top w:val="nil"/>
            </w:tcBorders>
            <w:shd w:val="clear" w:color="auto" w:fill="A6A6A6" w:themeFill="background1" w:themeFillShade="A6"/>
          </w:tcPr>
          <w:p w14:paraId="74172541" w14:textId="77777777" w:rsidR="00A32D45" w:rsidRPr="00CD1DFD" w:rsidRDefault="00A32D45" w:rsidP="00AC67F1">
            <w:pPr>
              <w:jc w:val="center"/>
              <w:rPr>
                <w:rFonts w:cs="Arial"/>
                <w:b/>
              </w:rPr>
            </w:pPr>
            <w:r w:rsidRPr="00CD1DFD">
              <w:rPr>
                <w:rFonts w:cs="Arial"/>
                <w:b/>
              </w:rPr>
              <w:t>£m</w:t>
            </w:r>
          </w:p>
        </w:tc>
        <w:tc>
          <w:tcPr>
            <w:tcW w:w="1237" w:type="dxa"/>
            <w:tcBorders>
              <w:top w:val="nil"/>
            </w:tcBorders>
            <w:shd w:val="clear" w:color="auto" w:fill="A6A6A6" w:themeFill="background1" w:themeFillShade="A6"/>
          </w:tcPr>
          <w:p w14:paraId="36FD2CB8" w14:textId="77777777" w:rsidR="00A32D45" w:rsidRPr="00CD1DFD" w:rsidRDefault="00A32D45" w:rsidP="00AC67F1">
            <w:pPr>
              <w:jc w:val="center"/>
              <w:rPr>
                <w:rFonts w:cs="Arial"/>
                <w:b/>
              </w:rPr>
            </w:pPr>
            <w:r w:rsidRPr="00CD1DFD">
              <w:rPr>
                <w:rFonts w:cs="Arial"/>
                <w:b/>
              </w:rPr>
              <w:t>£m</w:t>
            </w:r>
          </w:p>
        </w:tc>
        <w:tc>
          <w:tcPr>
            <w:tcW w:w="1237" w:type="dxa"/>
            <w:tcBorders>
              <w:top w:val="nil"/>
            </w:tcBorders>
            <w:shd w:val="clear" w:color="auto" w:fill="A6A6A6" w:themeFill="background1" w:themeFillShade="A6"/>
          </w:tcPr>
          <w:p w14:paraId="29A95D4C" w14:textId="77777777" w:rsidR="00A32D45" w:rsidRPr="00CD1DFD" w:rsidRDefault="00A32D45" w:rsidP="00AC67F1">
            <w:pPr>
              <w:jc w:val="center"/>
              <w:rPr>
                <w:rFonts w:cs="Arial"/>
                <w:b/>
              </w:rPr>
            </w:pPr>
            <w:r w:rsidRPr="00CD1DFD">
              <w:rPr>
                <w:rFonts w:cs="Arial"/>
                <w:b/>
              </w:rPr>
              <w:t>£m</w:t>
            </w:r>
          </w:p>
        </w:tc>
        <w:tc>
          <w:tcPr>
            <w:tcW w:w="1238" w:type="dxa"/>
            <w:tcBorders>
              <w:top w:val="nil"/>
            </w:tcBorders>
            <w:shd w:val="clear" w:color="auto" w:fill="A6A6A6" w:themeFill="background1" w:themeFillShade="A6"/>
          </w:tcPr>
          <w:p w14:paraId="616CE6E7" w14:textId="77777777" w:rsidR="00A32D45" w:rsidRPr="00CD1DFD" w:rsidRDefault="00A32D45" w:rsidP="00AC67F1">
            <w:pPr>
              <w:jc w:val="center"/>
              <w:rPr>
                <w:rFonts w:cs="Arial"/>
                <w:b/>
              </w:rPr>
            </w:pPr>
            <w:r w:rsidRPr="00CD1DFD">
              <w:rPr>
                <w:rFonts w:cs="Arial"/>
                <w:b/>
              </w:rPr>
              <w:t>£m</w:t>
            </w:r>
          </w:p>
        </w:tc>
      </w:tr>
      <w:tr w:rsidR="00A32D45" w:rsidRPr="00CD1DFD" w14:paraId="39885BC1" w14:textId="77777777" w:rsidTr="00AC67F1">
        <w:tc>
          <w:tcPr>
            <w:tcW w:w="2830" w:type="dxa"/>
          </w:tcPr>
          <w:p w14:paraId="07326034" w14:textId="77777777" w:rsidR="00A32D45" w:rsidRPr="00CD1DFD" w:rsidRDefault="00A32D45" w:rsidP="00AC67F1">
            <w:pPr>
              <w:rPr>
                <w:rFonts w:cs="Arial"/>
              </w:rPr>
            </w:pPr>
            <w:r w:rsidRPr="00CD1DFD">
              <w:rPr>
                <w:rFonts w:cs="Arial"/>
              </w:rPr>
              <w:t>S31 grants</w:t>
            </w:r>
          </w:p>
        </w:tc>
        <w:tc>
          <w:tcPr>
            <w:tcW w:w="1237" w:type="dxa"/>
          </w:tcPr>
          <w:p w14:paraId="32A14E7C" w14:textId="61CFD4E0" w:rsidR="00A32D45" w:rsidRPr="00CD1DFD" w:rsidRDefault="007F3B31" w:rsidP="00AC67F1">
            <w:pPr>
              <w:jc w:val="right"/>
              <w:rPr>
                <w:rFonts w:cs="Arial"/>
              </w:rPr>
            </w:pPr>
            <w:r>
              <w:rPr>
                <w:rFonts w:cs="Arial"/>
              </w:rPr>
              <w:t>1.444</w:t>
            </w:r>
          </w:p>
        </w:tc>
        <w:tc>
          <w:tcPr>
            <w:tcW w:w="1237" w:type="dxa"/>
          </w:tcPr>
          <w:p w14:paraId="714CA93C" w14:textId="77777777" w:rsidR="00A32D45" w:rsidRPr="00CD1DFD" w:rsidRDefault="00A32D45" w:rsidP="00AC67F1">
            <w:pPr>
              <w:jc w:val="right"/>
              <w:rPr>
                <w:rFonts w:cs="Arial"/>
              </w:rPr>
            </w:pPr>
            <w:r w:rsidRPr="00CD1DFD">
              <w:rPr>
                <w:rFonts w:cs="Arial"/>
              </w:rPr>
              <w:t>-0.810</w:t>
            </w:r>
          </w:p>
        </w:tc>
        <w:tc>
          <w:tcPr>
            <w:tcW w:w="1237" w:type="dxa"/>
          </w:tcPr>
          <w:p w14:paraId="250559DC" w14:textId="77777777" w:rsidR="00A32D45" w:rsidRPr="00CD1DFD" w:rsidRDefault="00A32D45" w:rsidP="00AC67F1">
            <w:pPr>
              <w:jc w:val="right"/>
              <w:rPr>
                <w:rFonts w:cs="Arial"/>
              </w:rPr>
            </w:pPr>
            <w:r w:rsidRPr="00CD1DFD">
              <w:rPr>
                <w:rFonts w:cs="Arial"/>
              </w:rPr>
              <w:t>0.925</w:t>
            </w:r>
          </w:p>
        </w:tc>
        <w:tc>
          <w:tcPr>
            <w:tcW w:w="1237" w:type="dxa"/>
          </w:tcPr>
          <w:p w14:paraId="59551886" w14:textId="77777777" w:rsidR="00A32D45" w:rsidRPr="00CD1DFD" w:rsidRDefault="00A32D45" w:rsidP="00AC67F1">
            <w:pPr>
              <w:jc w:val="right"/>
              <w:rPr>
                <w:rFonts w:cs="Arial"/>
              </w:rPr>
            </w:pPr>
            <w:r w:rsidRPr="00CD1DFD">
              <w:rPr>
                <w:rFonts w:cs="Arial"/>
              </w:rPr>
              <w:t>0.128</w:t>
            </w:r>
          </w:p>
        </w:tc>
        <w:tc>
          <w:tcPr>
            <w:tcW w:w="1238" w:type="dxa"/>
          </w:tcPr>
          <w:p w14:paraId="309AB116" w14:textId="48908B1D" w:rsidR="00A32D45" w:rsidRPr="00CD1DFD" w:rsidRDefault="007F3B31" w:rsidP="00AC67F1">
            <w:pPr>
              <w:jc w:val="right"/>
              <w:rPr>
                <w:rFonts w:cs="Arial"/>
                <w:b/>
              </w:rPr>
            </w:pPr>
            <w:r>
              <w:rPr>
                <w:rFonts w:cs="Arial"/>
                <w:b/>
              </w:rPr>
              <w:t>1.687</w:t>
            </w:r>
          </w:p>
        </w:tc>
      </w:tr>
      <w:tr w:rsidR="00A32D45" w:rsidRPr="00CD1DFD" w14:paraId="0AD95026" w14:textId="77777777" w:rsidTr="00AC67F1">
        <w:tc>
          <w:tcPr>
            <w:tcW w:w="2830" w:type="dxa"/>
          </w:tcPr>
          <w:p w14:paraId="25073AA7" w14:textId="77777777" w:rsidR="00A32D45" w:rsidRPr="00CD1DFD" w:rsidRDefault="00A32D45" w:rsidP="00AC67F1">
            <w:pPr>
              <w:rPr>
                <w:rFonts w:cs="Arial"/>
              </w:rPr>
            </w:pPr>
            <w:r w:rsidRPr="00CD1DFD">
              <w:rPr>
                <w:rFonts w:cs="Arial"/>
              </w:rPr>
              <w:t>Council tax increase</w:t>
            </w:r>
          </w:p>
        </w:tc>
        <w:tc>
          <w:tcPr>
            <w:tcW w:w="1237" w:type="dxa"/>
          </w:tcPr>
          <w:p w14:paraId="2161DC41" w14:textId="08A98CB7" w:rsidR="00A32D45" w:rsidRPr="00CD1DFD" w:rsidRDefault="00A32D45" w:rsidP="004C00D2">
            <w:pPr>
              <w:jc w:val="right"/>
              <w:rPr>
                <w:rFonts w:cs="Arial"/>
              </w:rPr>
            </w:pPr>
            <w:r w:rsidRPr="00CD1DFD">
              <w:rPr>
                <w:rFonts w:cs="Arial"/>
              </w:rPr>
              <w:t>18.44</w:t>
            </w:r>
            <w:r w:rsidR="004C00D2">
              <w:rPr>
                <w:rFonts w:cs="Arial"/>
              </w:rPr>
              <w:t>4</w:t>
            </w:r>
          </w:p>
        </w:tc>
        <w:tc>
          <w:tcPr>
            <w:tcW w:w="1237" w:type="dxa"/>
          </w:tcPr>
          <w:p w14:paraId="424B7D4F" w14:textId="77777777" w:rsidR="00A32D45" w:rsidRPr="00CD1DFD" w:rsidRDefault="00A32D45" w:rsidP="00AC67F1">
            <w:pPr>
              <w:jc w:val="right"/>
              <w:rPr>
                <w:rFonts w:cs="Arial"/>
              </w:rPr>
            </w:pPr>
            <w:r w:rsidRPr="00CD1DFD">
              <w:rPr>
                <w:rFonts w:cs="Arial"/>
              </w:rPr>
              <w:t>20.647</w:t>
            </w:r>
          </w:p>
        </w:tc>
        <w:tc>
          <w:tcPr>
            <w:tcW w:w="1237" w:type="dxa"/>
          </w:tcPr>
          <w:p w14:paraId="6513156A" w14:textId="77777777" w:rsidR="00A32D45" w:rsidRPr="00CD1DFD" w:rsidRDefault="00A32D45" w:rsidP="00AC67F1">
            <w:pPr>
              <w:jc w:val="right"/>
              <w:rPr>
                <w:rFonts w:cs="Arial"/>
              </w:rPr>
            </w:pPr>
            <w:r w:rsidRPr="00CD1DFD">
              <w:rPr>
                <w:rFonts w:cs="Arial"/>
              </w:rPr>
              <w:t>21.729</w:t>
            </w:r>
          </w:p>
        </w:tc>
        <w:tc>
          <w:tcPr>
            <w:tcW w:w="1237" w:type="dxa"/>
          </w:tcPr>
          <w:p w14:paraId="28297BEB" w14:textId="77777777" w:rsidR="00A32D45" w:rsidRPr="00CD1DFD" w:rsidRDefault="00A32D45" w:rsidP="00AC67F1">
            <w:pPr>
              <w:jc w:val="right"/>
              <w:rPr>
                <w:rFonts w:cs="Arial"/>
              </w:rPr>
            </w:pPr>
            <w:r w:rsidRPr="00CD1DFD">
              <w:rPr>
                <w:rFonts w:cs="Arial"/>
              </w:rPr>
              <w:t>22.874</w:t>
            </w:r>
          </w:p>
        </w:tc>
        <w:tc>
          <w:tcPr>
            <w:tcW w:w="1238" w:type="dxa"/>
          </w:tcPr>
          <w:p w14:paraId="5A83BC3D" w14:textId="65666493" w:rsidR="00A32D45" w:rsidRPr="00CD1DFD" w:rsidRDefault="007F3B31" w:rsidP="00AC67F1">
            <w:pPr>
              <w:jc w:val="right"/>
              <w:rPr>
                <w:rFonts w:cs="Arial"/>
                <w:b/>
              </w:rPr>
            </w:pPr>
            <w:r>
              <w:rPr>
                <w:rFonts w:cs="Arial"/>
                <w:b/>
              </w:rPr>
              <w:t>83.694</w:t>
            </w:r>
          </w:p>
        </w:tc>
      </w:tr>
      <w:tr w:rsidR="00A32D45" w:rsidRPr="00CD1DFD" w14:paraId="569EA32D" w14:textId="77777777" w:rsidTr="00AC67F1">
        <w:tc>
          <w:tcPr>
            <w:tcW w:w="2830" w:type="dxa"/>
          </w:tcPr>
          <w:p w14:paraId="4DE46911" w14:textId="77777777" w:rsidR="00A32D45" w:rsidRPr="00CD1DFD" w:rsidRDefault="00A32D45" w:rsidP="00AC67F1">
            <w:pPr>
              <w:rPr>
                <w:rFonts w:cs="Arial"/>
              </w:rPr>
            </w:pPr>
          </w:p>
        </w:tc>
        <w:tc>
          <w:tcPr>
            <w:tcW w:w="1237" w:type="dxa"/>
          </w:tcPr>
          <w:p w14:paraId="4E9F91E8" w14:textId="77777777" w:rsidR="00A32D45" w:rsidRPr="00CD1DFD" w:rsidRDefault="00A32D45" w:rsidP="00AC67F1">
            <w:pPr>
              <w:jc w:val="right"/>
              <w:rPr>
                <w:rFonts w:cs="Arial"/>
              </w:rPr>
            </w:pPr>
          </w:p>
        </w:tc>
        <w:tc>
          <w:tcPr>
            <w:tcW w:w="1237" w:type="dxa"/>
          </w:tcPr>
          <w:p w14:paraId="5AAD5E3A" w14:textId="77777777" w:rsidR="00A32D45" w:rsidRPr="00CD1DFD" w:rsidRDefault="00A32D45" w:rsidP="00AC67F1">
            <w:pPr>
              <w:jc w:val="right"/>
              <w:rPr>
                <w:rFonts w:cs="Arial"/>
              </w:rPr>
            </w:pPr>
          </w:p>
        </w:tc>
        <w:tc>
          <w:tcPr>
            <w:tcW w:w="1237" w:type="dxa"/>
          </w:tcPr>
          <w:p w14:paraId="4804B4F5" w14:textId="77777777" w:rsidR="00A32D45" w:rsidRPr="00CD1DFD" w:rsidRDefault="00A32D45" w:rsidP="00AC67F1">
            <w:pPr>
              <w:jc w:val="right"/>
              <w:rPr>
                <w:rFonts w:cs="Arial"/>
              </w:rPr>
            </w:pPr>
          </w:p>
        </w:tc>
        <w:tc>
          <w:tcPr>
            <w:tcW w:w="1237" w:type="dxa"/>
          </w:tcPr>
          <w:p w14:paraId="779EE554" w14:textId="77777777" w:rsidR="00A32D45" w:rsidRPr="00CD1DFD" w:rsidRDefault="00A32D45" w:rsidP="00AC67F1">
            <w:pPr>
              <w:jc w:val="right"/>
              <w:rPr>
                <w:rFonts w:cs="Arial"/>
              </w:rPr>
            </w:pPr>
          </w:p>
        </w:tc>
        <w:tc>
          <w:tcPr>
            <w:tcW w:w="1238" w:type="dxa"/>
          </w:tcPr>
          <w:p w14:paraId="25D0CEEA" w14:textId="77777777" w:rsidR="00A32D45" w:rsidRPr="00CD1DFD" w:rsidRDefault="00A32D45" w:rsidP="00AC67F1">
            <w:pPr>
              <w:jc w:val="right"/>
              <w:rPr>
                <w:rFonts w:cs="Arial"/>
                <w:b/>
              </w:rPr>
            </w:pPr>
          </w:p>
        </w:tc>
      </w:tr>
      <w:tr w:rsidR="00A32D45" w:rsidRPr="00CD1DFD" w14:paraId="03B978A9" w14:textId="77777777" w:rsidTr="00AC67F1">
        <w:tc>
          <w:tcPr>
            <w:tcW w:w="2830" w:type="dxa"/>
          </w:tcPr>
          <w:p w14:paraId="1EE6C9B8" w14:textId="77777777" w:rsidR="00A32D45" w:rsidRPr="0032702C" w:rsidRDefault="00A32D45" w:rsidP="00AC67F1">
            <w:pPr>
              <w:rPr>
                <w:rFonts w:cs="Arial"/>
                <w:b/>
              </w:rPr>
            </w:pPr>
            <w:r w:rsidRPr="0032702C">
              <w:rPr>
                <w:rFonts w:cs="Arial"/>
                <w:b/>
              </w:rPr>
              <w:t>Total</w:t>
            </w:r>
          </w:p>
        </w:tc>
        <w:tc>
          <w:tcPr>
            <w:tcW w:w="1237" w:type="dxa"/>
          </w:tcPr>
          <w:p w14:paraId="16D55F8E" w14:textId="4B95E1DA" w:rsidR="00A32D45" w:rsidRPr="0032702C" w:rsidRDefault="004C00D2" w:rsidP="00AC67F1">
            <w:pPr>
              <w:jc w:val="right"/>
              <w:rPr>
                <w:rFonts w:cs="Arial"/>
                <w:b/>
              </w:rPr>
            </w:pPr>
            <w:r>
              <w:rPr>
                <w:rFonts w:cs="Arial"/>
                <w:b/>
              </w:rPr>
              <w:t>19.888</w:t>
            </w:r>
          </w:p>
        </w:tc>
        <w:tc>
          <w:tcPr>
            <w:tcW w:w="1237" w:type="dxa"/>
          </w:tcPr>
          <w:p w14:paraId="12BF778C" w14:textId="77777777" w:rsidR="00A32D45" w:rsidRPr="0032702C" w:rsidRDefault="00A32D45" w:rsidP="00AC67F1">
            <w:pPr>
              <w:jc w:val="right"/>
              <w:rPr>
                <w:rFonts w:cs="Arial"/>
                <w:b/>
              </w:rPr>
            </w:pPr>
            <w:r w:rsidRPr="0032702C">
              <w:rPr>
                <w:rFonts w:cs="Arial"/>
                <w:b/>
              </w:rPr>
              <w:t>19.837</w:t>
            </w:r>
          </w:p>
        </w:tc>
        <w:tc>
          <w:tcPr>
            <w:tcW w:w="1237" w:type="dxa"/>
          </w:tcPr>
          <w:p w14:paraId="5659E8BC" w14:textId="77777777" w:rsidR="00A32D45" w:rsidRPr="0032702C" w:rsidRDefault="00A32D45" w:rsidP="00AC67F1">
            <w:pPr>
              <w:jc w:val="right"/>
              <w:rPr>
                <w:rFonts w:cs="Arial"/>
                <w:b/>
              </w:rPr>
            </w:pPr>
            <w:r w:rsidRPr="0032702C">
              <w:rPr>
                <w:rFonts w:cs="Arial"/>
                <w:b/>
              </w:rPr>
              <w:t>22.654</w:t>
            </w:r>
          </w:p>
        </w:tc>
        <w:tc>
          <w:tcPr>
            <w:tcW w:w="1237" w:type="dxa"/>
          </w:tcPr>
          <w:p w14:paraId="52425AF3" w14:textId="77777777" w:rsidR="00A32D45" w:rsidRPr="008964C9" w:rsidRDefault="00A32D45" w:rsidP="00AC67F1">
            <w:pPr>
              <w:jc w:val="right"/>
              <w:rPr>
                <w:rFonts w:cs="Arial"/>
                <w:b/>
              </w:rPr>
            </w:pPr>
            <w:r w:rsidRPr="008964C9">
              <w:rPr>
                <w:rFonts w:cs="Arial"/>
                <w:b/>
              </w:rPr>
              <w:t>23.002</w:t>
            </w:r>
          </w:p>
        </w:tc>
        <w:tc>
          <w:tcPr>
            <w:tcW w:w="1238" w:type="dxa"/>
          </w:tcPr>
          <w:p w14:paraId="56A7F045" w14:textId="5D84ADBD" w:rsidR="00A32D45" w:rsidRPr="00CD1DFD" w:rsidRDefault="004C00D2" w:rsidP="00AC67F1">
            <w:pPr>
              <w:jc w:val="right"/>
              <w:rPr>
                <w:rFonts w:cs="Arial"/>
                <w:b/>
              </w:rPr>
            </w:pPr>
            <w:r>
              <w:rPr>
                <w:rFonts w:cs="Arial"/>
                <w:b/>
              </w:rPr>
              <w:t>85.3</w:t>
            </w:r>
            <w:r w:rsidR="00A32D45" w:rsidRPr="00CD1DFD">
              <w:rPr>
                <w:rFonts w:cs="Arial"/>
                <w:b/>
              </w:rPr>
              <w:t>81</w:t>
            </w:r>
          </w:p>
        </w:tc>
      </w:tr>
    </w:tbl>
    <w:p w14:paraId="5C680C3C" w14:textId="77777777" w:rsidR="00396E00" w:rsidRPr="00666242" w:rsidRDefault="00396E00" w:rsidP="008D5D96">
      <w:pPr>
        <w:tabs>
          <w:tab w:val="left" w:pos="567"/>
          <w:tab w:val="left" w:pos="1134"/>
        </w:tabs>
        <w:spacing w:after="0"/>
        <w:rPr>
          <w:rFonts w:cs="Arial"/>
          <w:b/>
          <w:highlight w:val="yellow"/>
        </w:rPr>
      </w:pPr>
    </w:p>
    <w:p w14:paraId="1EAA46F8" w14:textId="77777777" w:rsidR="00932C3B" w:rsidRPr="009A4411" w:rsidRDefault="00B76843" w:rsidP="008D5D96">
      <w:pPr>
        <w:tabs>
          <w:tab w:val="left" w:pos="567"/>
          <w:tab w:val="left" w:pos="1134"/>
        </w:tabs>
        <w:spacing w:after="0"/>
        <w:rPr>
          <w:rFonts w:cs="Arial"/>
          <w:b/>
        </w:rPr>
      </w:pPr>
      <w:r w:rsidRPr="009A4411">
        <w:rPr>
          <w:rFonts w:cs="Arial"/>
          <w:b/>
        </w:rPr>
        <w:t>3</w:t>
      </w:r>
      <w:r w:rsidR="00932C3B" w:rsidRPr="009A4411">
        <w:rPr>
          <w:rFonts w:cs="Arial"/>
          <w:b/>
        </w:rPr>
        <w:t>.</w:t>
      </w:r>
      <w:r w:rsidRPr="009A4411">
        <w:rPr>
          <w:rFonts w:cs="Arial"/>
          <w:b/>
        </w:rPr>
        <w:t xml:space="preserve"> Net </w:t>
      </w:r>
      <w:r w:rsidR="00932C3B" w:rsidRPr="009A4411">
        <w:rPr>
          <w:rFonts w:cs="Arial"/>
          <w:b/>
        </w:rPr>
        <w:t>Spending Pressures</w:t>
      </w:r>
    </w:p>
    <w:p w14:paraId="05716486" w14:textId="77777777" w:rsidR="00D31557" w:rsidRPr="009A4411" w:rsidRDefault="00D31557" w:rsidP="008D5D96">
      <w:pPr>
        <w:tabs>
          <w:tab w:val="left" w:pos="567"/>
          <w:tab w:val="left" w:pos="1134"/>
        </w:tabs>
        <w:spacing w:after="0"/>
        <w:rPr>
          <w:rFonts w:cs="Arial"/>
          <w:b/>
        </w:rPr>
      </w:pPr>
    </w:p>
    <w:p w14:paraId="6A2A26A5" w14:textId="77777777" w:rsidR="00932C3B" w:rsidRPr="009A4411" w:rsidRDefault="00D31557" w:rsidP="008D5D96">
      <w:pPr>
        <w:tabs>
          <w:tab w:val="left" w:pos="567"/>
          <w:tab w:val="left" w:pos="1134"/>
        </w:tabs>
        <w:spacing w:after="0"/>
        <w:rPr>
          <w:rFonts w:cs="Arial"/>
          <w:b/>
        </w:rPr>
      </w:pPr>
      <w:r w:rsidRPr="009A4411">
        <w:rPr>
          <w:rFonts w:cs="Arial"/>
        </w:rPr>
        <w:t>The MTFS covers spending pressures including pay increases, contractual inflation, increased demand for services and the impact of previously agreed savings measures that are either no longer achievable at all or not to the scale or in the timeframes originally planned</w:t>
      </w:r>
      <w:r w:rsidRPr="009A4411">
        <w:rPr>
          <w:rFonts w:cs="Arial"/>
          <w:b/>
        </w:rPr>
        <w:t>.</w:t>
      </w:r>
    </w:p>
    <w:p w14:paraId="6E196A18" w14:textId="77777777" w:rsidR="008A6E38" w:rsidRPr="00666242" w:rsidRDefault="008A6E38" w:rsidP="008D5D96">
      <w:pPr>
        <w:tabs>
          <w:tab w:val="left" w:pos="567"/>
          <w:tab w:val="left" w:pos="1134"/>
        </w:tabs>
        <w:spacing w:after="0"/>
        <w:rPr>
          <w:rFonts w:cs="Arial"/>
          <w:highlight w:val="yellow"/>
        </w:rPr>
      </w:pPr>
    </w:p>
    <w:p w14:paraId="600818F9" w14:textId="77777777" w:rsidR="0013756B" w:rsidRPr="006A0088" w:rsidRDefault="00DC1BB5" w:rsidP="008D5D96">
      <w:pPr>
        <w:spacing w:after="0"/>
        <w:rPr>
          <w:rFonts w:cs="Arial"/>
          <w:b/>
        </w:rPr>
      </w:pPr>
      <w:r w:rsidRPr="006A0088">
        <w:rPr>
          <w:rFonts w:cs="Arial"/>
          <w:b/>
        </w:rPr>
        <w:t>3</w:t>
      </w:r>
      <w:r w:rsidR="00145395" w:rsidRPr="006A0088">
        <w:rPr>
          <w:rFonts w:cs="Arial"/>
          <w:b/>
        </w:rPr>
        <w:t>.</w:t>
      </w:r>
      <w:r w:rsidRPr="006A0088">
        <w:rPr>
          <w:rFonts w:cs="Arial"/>
          <w:b/>
        </w:rPr>
        <w:t>1</w:t>
      </w:r>
      <w:r w:rsidR="00E57F56" w:rsidRPr="006A0088">
        <w:rPr>
          <w:rFonts w:cs="Arial"/>
          <w:b/>
        </w:rPr>
        <w:t xml:space="preserve"> </w:t>
      </w:r>
      <w:r w:rsidR="00D31557" w:rsidRPr="006A0088">
        <w:rPr>
          <w:rFonts w:cs="Arial"/>
          <w:b/>
        </w:rPr>
        <w:t>Pay</w:t>
      </w:r>
    </w:p>
    <w:p w14:paraId="31B2E4D8" w14:textId="77777777" w:rsidR="00D31557" w:rsidRPr="006A0088" w:rsidRDefault="00D31557" w:rsidP="008D5D96">
      <w:pPr>
        <w:spacing w:after="0"/>
        <w:rPr>
          <w:rFonts w:cs="Arial"/>
          <w:b/>
        </w:rPr>
      </w:pPr>
    </w:p>
    <w:p w14:paraId="03F04065" w14:textId="00CCB906" w:rsidR="006A0088" w:rsidRDefault="00D31557" w:rsidP="00D31557">
      <w:pPr>
        <w:spacing w:after="0"/>
        <w:rPr>
          <w:rFonts w:cs="Arial"/>
        </w:rPr>
      </w:pPr>
      <w:r w:rsidRPr="006A0088">
        <w:rPr>
          <w:rFonts w:cs="Arial"/>
        </w:rPr>
        <w:t xml:space="preserve">In the July </w:t>
      </w:r>
      <w:r w:rsidR="006A0088" w:rsidRPr="006A0088">
        <w:rPr>
          <w:rFonts w:cs="Arial"/>
        </w:rPr>
        <w:t xml:space="preserve">2015 </w:t>
      </w:r>
      <w:r w:rsidRPr="006A0088">
        <w:rPr>
          <w:rFonts w:cs="Arial"/>
        </w:rPr>
        <w:t>Budget the Chancellor announced a 4 year restriction on public sector pay increases at 1% per year. This assumpt</w:t>
      </w:r>
      <w:r w:rsidR="006A0088">
        <w:rPr>
          <w:rFonts w:cs="Arial"/>
        </w:rPr>
        <w:t>ion</w:t>
      </w:r>
      <w:r w:rsidR="00E6630C">
        <w:rPr>
          <w:rFonts w:cs="Arial"/>
        </w:rPr>
        <w:t xml:space="preserve"> was built into the current MTFS and remains</w:t>
      </w:r>
      <w:r w:rsidR="006A0088">
        <w:rPr>
          <w:rFonts w:cs="Arial"/>
        </w:rPr>
        <w:t xml:space="preserve"> unchanged</w:t>
      </w:r>
      <w:r w:rsidR="00E6630C">
        <w:rPr>
          <w:rFonts w:cs="Arial"/>
        </w:rPr>
        <w:t xml:space="preserve">, </w:t>
      </w:r>
      <w:r w:rsidR="006A0088">
        <w:rPr>
          <w:rFonts w:cs="Arial"/>
        </w:rPr>
        <w:t>however a full review of the current staffing cohort and fut</w:t>
      </w:r>
      <w:r w:rsidR="00270A7A">
        <w:rPr>
          <w:rFonts w:cs="Arial"/>
        </w:rPr>
        <w:t xml:space="preserve">ure savings that may impact on </w:t>
      </w:r>
      <w:r w:rsidR="006A0088">
        <w:rPr>
          <w:rFonts w:cs="Arial"/>
        </w:rPr>
        <w:t>s</w:t>
      </w:r>
      <w:r w:rsidR="00270A7A">
        <w:rPr>
          <w:rFonts w:cs="Arial"/>
        </w:rPr>
        <w:t>taffing</w:t>
      </w:r>
      <w:r w:rsidR="006A0088">
        <w:rPr>
          <w:rFonts w:cs="Arial"/>
        </w:rPr>
        <w:t xml:space="preserve"> has been included. This also incorporates a separate calculation for the National Living Wage which the County Council is committed to paying its employees as an accredited member of the Living Wage Foundation. </w:t>
      </w:r>
    </w:p>
    <w:p w14:paraId="4B07761D" w14:textId="77777777" w:rsidR="006A0088" w:rsidRDefault="006A0088" w:rsidP="00D31557">
      <w:pPr>
        <w:spacing w:after="0"/>
        <w:rPr>
          <w:rFonts w:cs="Arial"/>
        </w:rPr>
      </w:pPr>
    </w:p>
    <w:p w14:paraId="7764282E" w14:textId="47FF191B" w:rsidR="000A747F" w:rsidRDefault="006A0088" w:rsidP="00D31557">
      <w:pPr>
        <w:spacing w:after="0"/>
        <w:rPr>
          <w:rFonts w:cs="Arial"/>
        </w:rPr>
      </w:pPr>
      <w:r>
        <w:rPr>
          <w:rFonts w:cs="Arial"/>
        </w:rPr>
        <w:t>As part of the review of the MTFS a resource requirement has been built in to fund the cost of increments that will be paid to staff as they progress up their respective grades. The staffing budgets have undergone a full realignment in 2016/17 with budgets being allocated on specific grade points at the start of 2016/17, therefore additional budget will be required to fun</w:t>
      </w:r>
      <w:r w:rsidR="00145DBC">
        <w:rPr>
          <w:rFonts w:cs="Arial"/>
        </w:rPr>
        <w:t>d increments over future years and this has not previously been built into the MTFS.</w:t>
      </w:r>
    </w:p>
    <w:p w14:paraId="4586307E" w14:textId="77777777" w:rsidR="00145DBC" w:rsidRPr="00145DBC" w:rsidRDefault="00145DBC" w:rsidP="00D31557">
      <w:pPr>
        <w:spacing w:after="0"/>
        <w:rPr>
          <w:rFonts w:cs="Arial"/>
        </w:rPr>
      </w:pPr>
    </w:p>
    <w:p w14:paraId="63B25AD6" w14:textId="3FB164B7" w:rsidR="006A0088" w:rsidRPr="006A0088" w:rsidRDefault="006A0088" w:rsidP="00D31557">
      <w:pPr>
        <w:spacing w:after="0"/>
        <w:rPr>
          <w:rFonts w:cs="Arial"/>
        </w:rPr>
      </w:pPr>
      <w:r w:rsidRPr="006A0088">
        <w:rPr>
          <w:rFonts w:cs="Arial"/>
        </w:rPr>
        <w:t>The table below presents the amounts already built into the MTFS for pay and the impact of the revised calculation:</w:t>
      </w:r>
    </w:p>
    <w:p w14:paraId="6B872919" w14:textId="77777777" w:rsidR="00D31557" w:rsidRPr="00001DA0" w:rsidRDefault="00D31557" w:rsidP="00D31557">
      <w:pPr>
        <w:spacing w:after="0"/>
        <w:rPr>
          <w:rFonts w:cs="Arial"/>
        </w:rPr>
      </w:pPr>
    </w:p>
    <w:tbl>
      <w:tblPr>
        <w:tblStyle w:val="TableGrid8"/>
        <w:tblW w:w="8227" w:type="dxa"/>
        <w:jc w:val="center"/>
        <w:tblLook w:val="04A0" w:firstRow="1" w:lastRow="0" w:firstColumn="1" w:lastColumn="0" w:noHBand="0" w:noVBand="1"/>
      </w:tblPr>
      <w:tblGrid>
        <w:gridCol w:w="2796"/>
        <w:gridCol w:w="1084"/>
        <w:gridCol w:w="1084"/>
        <w:gridCol w:w="1084"/>
        <w:gridCol w:w="1084"/>
        <w:gridCol w:w="1095"/>
      </w:tblGrid>
      <w:tr w:rsidR="006A0088" w:rsidRPr="00001DA0" w14:paraId="2E8C329C" w14:textId="77777777" w:rsidTr="005C03EB">
        <w:trPr>
          <w:trHeight w:val="724"/>
          <w:jc w:val="center"/>
        </w:trPr>
        <w:tc>
          <w:tcPr>
            <w:tcW w:w="2796" w:type="dxa"/>
            <w:shd w:val="clear" w:color="auto" w:fill="BFBFBF" w:themeFill="background1" w:themeFillShade="BF"/>
          </w:tcPr>
          <w:p w14:paraId="3B409B38" w14:textId="77777777" w:rsidR="006A0088" w:rsidRPr="005C03EB" w:rsidRDefault="006A0088" w:rsidP="005B6A8A">
            <w:pPr>
              <w:tabs>
                <w:tab w:val="left" w:pos="567"/>
                <w:tab w:val="left" w:pos="1134"/>
              </w:tabs>
              <w:spacing w:after="0"/>
              <w:rPr>
                <w:rFonts w:cs="Arial"/>
              </w:rPr>
            </w:pPr>
          </w:p>
        </w:tc>
        <w:tc>
          <w:tcPr>
            <w:tcW w:w="0" w:type="auto"/>
            <w:shd w:val="clear" w:color="auto" w:fill="BFBFBF" w:themeFill="background1" w:themeFillShade="BF"/>
            <w:vAlign w:val="center"/>
          </w:tcPr>
          <w:p w14:paraId="206F6446" w14:textId="77777777" w:rsidR="006A0088" w:rsidRPr="005C03EB" w:rsidRDefault="006A0088" w:rsidP="005B6A8A">
            <w:pPr>
              <w:tabs>
                <w:tab w:val="left" w:pos="567"/>
                <w:tab w:val="left" w:pos="1134"/>
              </w:tabs>
              <w:spacing w:after="0"/>
              <w:jc w:val="center"/>
              <w:rPr>
                <w:rFonts w:cs="Arial"/>
                <w:b/>
              </w:rPr>
            </w:pPr>
            <w:r w:rsidRPr="005C03EB">
              <w:rPr>
                <w:rFonts w:cs="Arial"/>
                <w:b/>
              </w:rPr>
              <w:t>2017/18</w:t>
            </w:r>
          </w:p>
          <w:p w14:paraId="6C66A220" w14:textId="77777777" w:rsidR="006A0088" w:rsidRPr="005C03EB" w:rsidRDefault="006A0088" w:rsidP="005B6A8A">
            <w:pPr>
              <w:tabs>
                <w:tab w:val="left" w:pos="567"/>
                <w:tab w:val="left" w:pos="1134"/>
              </w:tabs>
              <w:spacing w:after="0"/>
              <w:jc w:val="center"/>
              <w:rPr>
                <w:rFonts w:cs="Arial"/>
                <w:b/>
              </w:rPr>
            </w:pPr>
            <w:r w:rsidRPr="005C03EB">
              <w:rPr>
                <w:rFonts w:cs="Arial"/>
                <w:b/>
              </w:rPr>
              <w:t>£m</w:t>
            </w:r>
          </w:p>
        </w:tc>
        <w:tc>
          <w:tcPr>
            <w:tcW w:w="0" w:type="auto"/>
            <w:shd w:val="clear" w:color="auto" w:fill="BFBFBF" w:themeFill="background1" w:themeFillShade="BF"/>
            <w:vAlign w:val="center"/>
          </w:tcPr>
          <w:p w14:paraId="38669784" w14:textId="77777777" w:rsidR="006A0088" w:rsidRPr="005C03EB" w:rsidRDefault="006A0088" w:rsidP="005B6A8A">
            <w:pPr>
              <w:tabs>
                <w:tab w:val="left" w:pos="567"/>
                <w:tab w:val="left" w:pos="1134"/>
              </w:tabs>
              <w:spacing w:after="0"/>
              <w:jc w:val="center"/>
              <w:rPr>
                <w:rFonts w:cs="Arial"/>
                <w:b/>
              </w:rPr>
            </w:pPr>
            <w:r w:rsidRPr="005C03EB">
              <w:rPr>
                <w:rFonts w:cs="Arial"/>
                <w:b/>
              </w:rPr>
              <w:t>2018/19</w:t>
            </w:r>
          </w:p>
          <w:p w14:paraId="52CF8063" w14:textId="77777777" w:rsidR="006A0088" w:rsidRPr="005C03EB" w:rsidRDefault="006A0088" w:rsidP="005B6A8A">
            <w:pPr>
              <w:tabs>
                <w:tab w:val="left" w:pos="567"/>
                <w:tab w:val="left" w:pos="1134"/>
              </w:tabs>
              <w:spacing w:after="0"/>
              <w:jc w:val="center"/>
              <w:rPr>
                <w:rFonts w:cs="Arial"/>
                <w:b/>
              </w:rPr>
            </w:pPr>
            <w:r w:rsidRPr="005C03EB">
              <w:rPr>
                <w:rFonts w:cs="Arial"/>
                <w:b/>
              </w:rPr>
              <w:t>£m</w:t>
            </w:r>
          </w:p>
        </w:tc>
        <w:tc>
          <w:tcPr>
            <w:tcW w:w="0" w:type="auto"/>
            <w:shd w:val="clear" w:color="auto" w:fill="BFBFBF" w:themeFill="background1" w:themeFillShade="BF"/>
            <w:vAlign w:val="center"/>
          </w:tcPr>
          <w:p w14:paraId="7D7D4335" w14:textId="77777777" w:rsidR="006A0088" w:rsidRPr="005C03EB" w:rsidRDefault="006A0088" w:rsidP="005B6A8A">
            <w:pPr>
              <w:tabs>
                <w:tab w:val="left" w:pos="567"/>
                <w:tab w:val="left" w:pos="1134"/>
              </w:tabs>
              <w:spacing w:after="0"/>
              <w:jc w:val="center"/>
              <w:rPr>
                <w:rFonts w:cs="Arial"/>
                <w:b/>
              </w:rPr>
            </w:pPr>
            <w:r w:rsidRPr="005C03EB">
              <w:rPr>
                <w:rFonts w:cs="Arial"/>
                <w:b/>
              </w:rPr>
              <w:t>2019/20</w:t>
            </w:r>
          </w:p>
          <w:p w14:paraId="49884203" w14:textId="77777777" w:rsidR="006A0088" w:rsidRPr="005C03EB" w:rsidRDefault="006A0088" w:rsidP="005B6A8A">
            <w:pPr>
              <w:tabs>
                <w:tab w:val="left" w:pos="567"/>
                <w:tab w:val="left" w:pos="1134"/>
              </w:tabs>
              <w:spacing w:after="0"/>
              <w:jc w:val="center"/>
              <w:rPr>
                <w:rFonts w:cs="Arial"/>
                <w:b/>
              </w:rPr>
            </w:pPr>
            <w:r w:rsidRPr="005C03EB">
              <w:rPr>
                <w:rFonts w:cs="Arial"/>
                <w:b/>
              </w:rPr>
              <w:t>£m</w:t>
            </w:r>
          </w:p>
        </w:tc>
        <w:tc>
          <w:tcPr>
            <w:tcW w:w="0" w:type="auto"/>
            <w:shd w:val="clear" w:color="auto" w:fill="BFBFBF" w:themeFill="background1" w:themeFillShade="BF"/>
            <w:vAlign w:val="center"/>
          </w:tcPr>
          <w:p w14:paraId="0B594D60" w14:textId="77777777" w:rsidR="006A0088" w:rsidRPr="005C03EB" w:rsidRDefault="006A0088" w:rsidP="005B6A8A">
            <w:pPr>
              <w:tabs>
                <w:tab w:val="left" w:pos="567"/>
                <w:tab w:val="left" w:pos="1134"/>
              </w:tabs>
              <w:spacing w:after="0"/>
              <w:jc w:val="center"/>
              <w:rPr>
                <w:rFonts w:cs="Arial"/>
                <w:b/>
              </w:rPr>
            </w:pPr>
            <w:r w:rsidRPr="005C03EB">
              <w:rPr>
                <w:rFonts w:cs="Arial"/>
                <w:b/>
              </w:rPr>
              <w:t>2020/21</w:t>
            </w:r>
          </w:p>
          <w:p w14:paraId="7BFA1F02" w14:textId="77777777" w:rsidR="006A0088" w:rsidRPr="005C03EB" w:rsidRDefault="006A0088" w:rsidP="005B6A8A">
            <w:pPr>
              <w:tabs>
                <w:tab w:val="left" w:pos="567"/>
                <w:tab w:val="left" w:pos="1134"/>
              </w:tabs>
              <w:spacing w:after="0"/>
              <w:jc w:val="center"/>
              <w:rPr>
                <w:rFonts w:cs="Arial"/>
                <w:b/>
              </w:rPr>
            </w:pPr>
            <w:r w:rsidRPr="005C03EB">
              <w:rPr>
                <w:rFonts w:cs="Arial"/>
                <w:b/>
              </w:rPr>
              <w:t>£m</w:t>
            </w:r>
          </w:p>
        </w:tc>
        <w:tc>
          <w:tcPr>
            <w:tcW w:w="1095" w:type="dxa"/>
            <w:shd w:val="clear" w:color="auto" w:fill="BFBFBF" w:themeFill="background1" w:themeFillShade="BF"/>
            <w:vAlign w:val="center"/>
          </w:tcPr>
          <w:p w14:paraId="45848657" w14:textId="77777777" w:rsidR="006A0088" w:rsidRPr="005C03EB" w:rsidRDefault="006A0088" w:rsidP="005B6A8A">
            <w:pPr>
              <w:tabs>
                <w:tab w:val="left" w:pos="567"/>
                <w:tab w:val="left" w:pos="1134"/>
              </w:tabs>
              <w:spacing w:after="0"/>
              <w:jc w:val="center"/>
              <w:rPr>
                <w:rFonts w:cs="Arial"/>
                <w:b/>
              </w:rPr>
            </w:pPr>
            <w:r w:rsidRPr="005C03EB">
              <w:rPr>
                <w:rFonts w:cs="Arial"/>
                <w:b/>
              </w:rPr>
              <w:t>Total</w:t>
            </w:r>
          </w:p>
          <w:p w14:paraId="08227FC4" w14:textId="77777777" w:rsidR="006A0088" w:rsidRPr="005C03EB" w:rsidRDefault="006A0088" w:rsidP="005B6A8A">
            <w:pPr>
              <w:tabs>
                <w:tab w:val="left" w:pos="567"/>
                <w:tab w:val="left" w:pos="1134"/>
              </w:tabs>
              <w:spacing w:after="0"/>
              <w:jc w:val="center"/>
              <w:rPr>
                <w:rFonts w:cs="Arial"/>
                <w:b/>
              </w:rPr>
            </w:pPr>
            <w:r w:rsidRPr="005C03EB">
              <w:rPr>
                <w:rFonts w:cs="Arial"/>
                <w:b/>
              </w:rPr>
              <w:t>£m</w:t>
            </w:r>
          </w:p>
        </w:tc>
      </w:tr>
      <w:tr w:rsidR="006A0088" w:rsidRPr="00001DA0" w14:paraId="56208938" w14:textId="77777777" w:rsidTr="005C03EB">
        <w:trPr>
          <w:trHeight w:val="593"/>
          <w:jc w:val="center"/>
        </w:trPr>
        <w:tc>
          <w:tcPr>
            <w:tcW w:w="2796" w:type="dxa"/>
            <w:vAlign w:val="center"/>
          </w:tcPr>
          <w:p w14:paraId="537E4B2F" w14:textId="70B3C5B4" w:rsidR="006A0088" w:rsidRPr="005C03EB" w:rsidRDefault="006A0088" w:rsidP="005B6A8A">
            <w:pPr>
              <w:tabs>
                <w:tab w:val="left" w:pos="567"/>
                <w:tab w:val="left" w:pos="1134"/>
              </w:tabs>
              <w:spacing w:after="0"/>
              <w:jc w:val="left"/>
              <w:rPr>
                <w:rFonts w:cs="Arial"/>
                <w:b/>
              </w:rPr>
            </w:pPr>
            <w:r w:rsidRPr="005C03EB">
              <w:rPr>
                <w:rFonts w:cs="Arial"/>
                <w:b/>
              </w:rPr>
              <w:t>Pay – Previous MTFS</w:t>
            </w:r>
          </w:p>
        </w:tc>
        <w:tc>
          <w:tcPr>
            <w:tcW w:w="0" w:type="auto"/>
            <w:vAlign w:val="center"/>
          </w:tcPr>
          <w:p w14:paraId="280B5FB0" w14:textId="75207AF2" w:rsidR="006A0088" w:rsidRPr="005C03EB" w:rsidRDefault="006A0088" w:rsidP="005B6A8A">
            <w:pPr>
              <w:tabs>
                <w:tab w:val="left" w:pos="567"/>
                <w:tab w:val="left" w:pos="1134"/>
              </w:tabs>
              <w:spacing w:after="0"/>
              <w:jc w:val="center"/>
              <w:rPr>
                <w:rFonts w:cs="Arial"/>
                <w:b/>
              </w:rPr>
            </w:pPr>
            <w:r w:rsidRPr="005C03EB">
              <w:rPr>
                <w:rFonts w:cs="Arial"/>
                <w:b/>
              </w:rPr>
              <w:t>4.149</w:t>
            </w:r>
          </w:p>
        </w:tc>
        <w:tc>
          <w:tcPr>
            <w:tcW w:w="0" w:type="auto"/>
            <w:vAlign w:val="center"/>
          </w:tcPr>
          <w:p w14:paraId="5762A59F" w14:textId="3FCF4F08" w:rsidR="006A0088" w:rsidRPr="005C03EB" w:rsidRDefault="006A0088" w:rsidP="005B6A8A">
            <w:pPr>
              <w:tabs>
                <w:tab w:val="left" w:pos="567"/>
                <w:tab w:val="left" w:pos="1134"/>
              </w:tabs>
              <w:spacing w:after="0"/>
              <w:jc w:val="center"/>
              <w:rPr>
                <w:rFonts w:cs="Arial"/>
                <w:b/>
              </w:rPr>
            </w:pPr>
            <w:r w:rsidRPr="005C03EB">
              <w:rPr>
                <w:rFonts w:cs="Arial"/>
                <w:b/>
              </w:rPr>
              <w:t>3.289</w:t>
            </w:r>
          </w:p>
        </w:tc>
        <w:tc>
          <w:tcPr>
            <w:tcW w:w="0" w:type="auto"/>
            <w:vAlign w:val="center"/>
          </w:tcPr>
          <w:p w14:paraId="7E78B7EC" w14:textId="5EB6AD76" w:rsidR="006A0088" w:rsidRPr="005C03EB" w:rsidRDefault="006A0088" w:rsidP="005B6A8A">
            <w:pPr>
              <w:tabs>
                <w:tab w:val="left" w:pos="567"/>
                <w:tab w:val="left" w:pos="1134"/>
              </w:tabs>
              <w:spacing w:after="0"/>
              <w:jc w:val="center"/>
              <w:rPr>
                <w:rFonts w:cs="Arial"/>
                <w:b/>
              </w:rPr>
            </w:pPr>
            <w:r w:rsidRPr="005C03EB">
              <w:rPr>
                <w:rFonts w:cs="Arial"/>
                <w:b/>
              </w:rPr>
              <w:t>3.368</w:t>
            </w:r>
          </w:p>
        </w:tc>
        <w:tc>
          <w:tcPr>
            <w:tcW w:w="0" w:type="auto"/>
            <w:vAlign w:val="center"/>
          </w:tcPr>
          <w:p w14:paraId="7834DFE7" w14:textId="50647713" w:rsidR="006A0088" w:rsidRPr="005C03EB" w:rsidRDefault="006A0088" w:rsidP="005B6A8A">
            <w:pPr>
              <w:tabs>
                <w:tab w:val="left" w:pos="567"/>
                <w:tab w:val="left" w:pos="1134"/>
              </w:tabs>
              <w:spacing w:after="0"/>
              <w:jc w:val="center"/>
              <w:rPr>
                <w:rFonts w:cs="Arial"/>
                <w:b/>
              </w:rPr>
            </w:pPr>
            <w:r w:rsidRPr="005C03EB">
              <w:rPr>
                <w:rFonts w:cs="Arial"/>
                <w:b/>
              </w:rPr>
              <w:t>3.428</w:t>
            </w:r>
          </w:p>
        </w:tc>
        <w:tc>
          <w:tcPr>
            <w:tcW w:w="1095" w:type="dxa"/>
            <w:vAlign w:val="center"/>
          </w:tcPr>
          <w:p w14:paraId="1F7E94D6" w14:textId="5816A2EB" w:rsidR="006A0088" w:rsidRPr="005C03EB" w:rsidRDefault="006A0088" w:rsidP="005B6A8A">
            <w:pPr>
              <w:tabs>
                <w:tab w:val="left" w:pos="567"/>
                <w:tab w:val="left" w:pos="1134"/>
              </w:tabs>
              <w:spacing w:after="0"/>
              <w:jc w:val="center"/>
              <w:rPr>
                <w:rFonts w:cs="Arial"/>
                <w:b/>
              </w:rPr>
            </w:pPr>
            <w:r w:rsidRPr="005C03EB">
              <w:rPr>
                <w:rFonts w:cs="Arial"/>
                <w:b/>
              </w:rPr>
              <w:t>14.234</w:t>
            </w:r>
          </w:p>
        </w:tc>
      </w:tr>
      <w:tr w:rsidR="006A0088" w:rsidRPr="00001DA0" w14:paraId="3B7AAB19" w14:textId="77777777" w:rsidTr="005C03EB">
        <w:trPr>
          <w:trHeight w:val="313"/>
          <w:jc w:val="center"/>
        </w:trPr>
        <w:tc>
          <w:tcPr>
            <w:tcW w:w="2796" w:type="dxa"/>
            <w:vAlign w:val="center"/>
          </w:tcPr>
          <w:p w14:paraId="44D07BE5" w14:textId="77777777" w:rsidR="006A0088" w:rsidRPr="005C03EB" w:rsidRDefault="006A0088" w:rsidP="005B6A8A">
            <w:pPr>
              <w:tabs>
                <w:tab w:val="left" w:pos="567"/>
                <w:tab w:val="left" w:pos="1134"/>
              </w:tabs>
              <w:spacing w:after="0"/>
              <w:jc w:val="left"/>
              <w:rPr>
                <w:rFonts w:cs="Arial"/>
              </w:rPr>
            </w:pPr>
          </w:p>
        </w:tc>
        <w:tc>
          <w:tcPr>
            <w:tcW w:w="0" w:type="auto"/>
            <w:vAlign w:val="center"/>
          </w:tcPr>
          <w:p w14:paraId="0D2DE57F" w14:textId="77777777" w:rsidR="006A0088" w:rsidRPr="005C03EB" w:rsidRDefault="006A0088" w:rsidP="005B6A8A">
            <w:pPr>
              <w:tabs>
                <w:tab w:val="left" w:pos="567"/>
                <w:tab w:val="left" w:pos="1134"/>
              </w:tabs>
              <w:spacing w:after="0"/>
              <w:jc w:val="center"/>
              <w:rPr>
                <w:rFonts w:cs="Arial"/>
              </w:rPr>
            </w:pPr>
          </w:p>
        </w:tc>
        <w:tc>
          <w:tcPr>
            <w:tcW w:w="0" w:type="auto"/>
            <w:vAlign w:val="center"/>
          </w:tcPr>
          <w:p w14:paraId="34CA02CB" w14:textId="77777777" w:rsidR="006A0088" w:rsidRPr="005C03EB" w:rsidRDefault="006A0088" w:rsidP="005B6A8A">
            <w:pPr>
              <w:tabs>
                <w:tab w:val="left" w:pos="567"/>
                <w:tab w:val="left" w:pos="1134"/>
              </w:tabs>
              <w:spacing w:after="0"/>
              <w:jc w:val="center"/>
              <w:rPr>
                <w:rFonts w:cs="Arial"/>
              </w:rPr>
            </w:pPr>
          </w:p>
        </w:tc>
        <w:tc>
          <w:tcPr>
            <w:tcW w:w="0" w:type="auto"/>
            <w:vAlign w:val="center"/>
          </w:tcPr>
          <w:p w14:paraId="44D9EE6D" w14:textId="77777777" w:rsidR="006A0088" w:rsidRPr="005C03EB" w:rsidRDefault="006A0088" w:rsidP="005B6A8A">
            <w:pPr>
              <w:tabs>
                <w:tab w:val="left" w:pos="567"/>
                <w:tab w:val="left" w:pos="1134"/>
              </w:tabs>
              <w:spacing w:after="0"/>
              <w:jc w:val="center"/>
              <w:rPr>
                <w:rFonts w:cs="Arial"/>
              </w:rPr>
            </w:pPr>
          </w:p>
        </w:tc>
        <w:tc>
          <w:tcPr>
            <w:tcW w:w="0" w:type="auto"/>
            <w:vAlign w:val="center"/>
          </w:tcPr>
          <w:p w14:paraId="779CACC7" w14:textId="77777777" w:rsidR="006A0088" w:rsidRPr="005C03EB" w:rsidRDefault="006A0088" w:rsidP="005B6A8A">
            <w:pPr>
              <w:tabs>
                <w:tab w:val="left" w:pos="567"/>
                <w:tab w:val="left" w:pos="1134"/>
              </w:tabs>
              <w:spacing w:after="0"/>
              <w:jc w:val="center"/>
              <w:rPr>
                <w:rFonts w:cs="Arial"/>
              </w:rPr>
            </w:pPr>
          </w:p>
        </w:tc>
        <w:tc>
          <w:tcPr>
            <w:tcW w:w="1095" w:type="dxa"/>
            <w:vAlign w:val="center"/>
          </w:tcPr>
          <w:p w14:paraId="509D3EAF" w14:textId="77777777" w:rsidR="006A0088" w:rsidRPr="005C03EB" w:rsidRDefault="006A0088" w:rsidP="005B6A8A">
            <w:pPr>
              <w:tabs>
                <w:tab w:val="left" w:pos="567"/>
                <w:tab w:val="left" w:pos="1134"/>
              </w:tabs>
              <w:spacing w:after="0"/>
              <w:jc w:val="center"/>
              <w:rPr>
                <w:rFonts w:cs="Arial"/>
                <w:b/>
              </w:rPr>
            </w:pPr>
          </w:p>
        </w:tc>
      </w:tr>
      <w:tr w:rsidR="006A0088" w:rsidRPr="00001DA0" w14:paraId="08C33098" w14:textId="77777777" w:rsidTr="005C03EB">
        <w:trPr>
          <w:trHeight w:val="593"/>
          <w:jc w:val="center"/>
        </w:trPr>
        <w:tc>
          <w:tcPr>
            <w:tcW w:w="2796" w:type="dxa"/>
            <w:vAlign w:val="center"/>
          </w:tcPr>
          <w:p w14:paraId="393CFB04" w14:textId="3CF302A9" w:rsidR="006A0088" w:rsidRPr="005C03EB" w:rsidRDefault="006A0088" w:rsidP="005B6A8A">
            <w:pPr>
              <w:tabs>
                <w:tab w:val="left" w:pos="567"/>
                <w:tab w:val="left" w:pos="1134"/>
              </w:tabs>
              <w:spacing w:after="0"/>
              <w:jc w:val="left"/>
              <w:rPr>
                <w:rFonts w:cs="Arial"/>
              </w:rPr>
            </w:pPr>
            <w:r w:rsidRPr="005C03EB">
              <w:rPr>
                <w:rFonts w:cs="Arial"/>
              </w:rPr>
              <w:t xml:space="preserve">Pay requirement (1% increase and Living Wage) </w:t>
            </w:r>
          </w:p>
        </w:tc>
        <w:tc>
          <w:tcPr>
            <w:tcW w:w="0" w:type="auto"/>
            <w:vAlign w:val="center"/>
          </w:tcPr>
          <w:p w14:paraId="292BA9B2" w14:textId="51B9F4F2" w:rsidR="006A0088" w:rsidRPr="005C03EB" w:rsidRDefault="006A0088" w:rsidP="005B6A8A">
            <w:pPr>
              <w:tabs>
                <w:tab w:val="left" w:pos="567"/>
                <w:tab w:val="left" w:pos="1134"/>
              </w:tabs>
              <w:spacing w:after="0"/>
              <w:jc w:val="center"/>
              <w:rPr>
                <w:rFonts w:cs="Arial"/>
              </w:rPr>
            </w:pPr>
            <w:r w:rsidRPr="005C03EB">
              <w:rPr>
                <w:rFonts w:cs="Arial"/>
              </w:rPr>
              <w:t>3.107</w:t>
            </w:r>
          </w:p>
        </w:tc>
        <w:tc>
          <w:tcPr>
            <w:tcW w:w="0" w:type="auto"/>
            <w:vAlign w:val="center"/>
          </w:tcPr>
          <w:p w14:paraId="0B19DD6C" w14:textId="65F6C2CD" w:rsidR="006A0088" w:rsidRPr="005C03EB" w:rsidRDefault="006A0088" w:rsidP="005B6A8A">
            <w:pPr>
              <w:tabs>
                <w:tab w:val="left" w:pos="567"/>
                <w:tab w:val="left" w:pos="1134"/>
              </w:tabs>
              <w:spacing w:after="0"/>
              <w:jc w:val="center"/>
              <w:rPr>
                <w:rFonts w:cs="Arial"/>
              </w:rPr>
            </w:pPr>
            <w:r w:rsidRPr="005C03EB">
              <w:rPr>
                <w:rFonts w:cs="Arial"/>
              </w:rPr>
              <w:t>2.970</w:t>
            </w:r>
          </w:p>
        </w:tc>
        <w:tc>
          <w:tcPr>
            <w:tcW w:w="0" w:type="auto"/>
            <w:vAlign w:val="center"/>
          </w:tcPr>
          <w:p w14:paraId="7A501DD8" w14:textId="469C18F9" w:rsidR="006A0088" w:rsidRPr="005C03EB" w:rsidRDefault="006A0088" w:rsidP="005B6A8A">
            <w:pPr>
              <w:tabs>
                <w:tab w:val="left" w:pos="567"/>
                <w:tab w:val="left" w:pos="1134"/>
              </w:tabs>
              <w:spacing w:after="0"/>
              <w:jc w:val="center"/>
              <w:rPr>
                <w:rFonts w:cs="Arial"/>
              </w:rPr>
            </w:pPr>
            <w:r w:rsidRPr="005C03EB">
              <w:rPr>
                <w:rFonts w:cs="Arial"/>
              </w:rPr>
              <w:t>3.448</w:t>
            </w:r>
          </w:p>
        </w:tc>
        <w:tc>
          <w:tcPr>
            <w:tcW w:w="0" w:type="auto"/>
            <w:vAlign w:val="center"/>
          </w:tcPr>
          <w:p w14:paraId="6E95EEB6" w14:textId="3428EB95" w:rsidR="006A0088" w:rsidRPr="005C03EB" w:rsidRDefault="006A0088" w:rsidP="005B6A8A">
            <w:pPr>
              <w:tabs>
                <w:tab w:val="left" w:pos="567"/>
                <w:tab w:val="left" w:pos="1134"/>
              </w:tabs>
              <w:spacing w:after="0"/>
              <w:jc w:val="center"/>
              <w:rPr>
                <w:rFonts w:cs="Arial"/>
              </w:rPr>
            </w:pPr>
            <w:r w:rsidRPr="005C03EB">
              <w:rPr>
                <w:rFonts w:cs="Arial"/>
              </w:rPr>
              <w:t>4.360</w:t>
            </w:r>
          </w:p>
        </w:tc>
        <w:tc>
          <w:tcPr>
            <w:tcW w:w="1095" w:type="dxa"/>
            <w:vAlign w:val="center"/>
          </w:tcPr>
          <w:p w14:paraId="08F3B714" w14:textId="067AC437" w:rsidR="006A0088" w:rsidRPr="005C03EB" w:rsidRDefault="00001DA0" w:rsidP="005B6A8A">
            <w:pPr>
              <w:tabs>
                <w:tab w:val="left" w:pos="567"/>
                <w:tab w:val="left" w:pos="1134"/>
              </w:tabs>
              <w:spacing w:after="0"/>
              <w:jc w:val="center"/>
              <w:rPr>
                <w:rFonts w:cs="Arial"/>
                <w:b/>
              </w:rPr>
            </w:pPr>
            <w:r w:rsidRPr="005C03EB">
              <w:rPr>
                <w:rFonts w:cs="Arial"/>
                <w:b/>
              </w:rPr>
              <w:t>13.885</w:t>
            </w:r>
          </w:p>
        </w:tc>
      </w:tr>
      <w:tr w:rsidR="006A0088" w:rsidRPr="00001DA0" w14:paraId="3300F60F" w14:textId="77777777" w:rsidTr="005C03EB">
        <w:trPr>
          <w:trHeight w:val="593"/>
          <w:jc w:val="center"/>
        </w:trPr>
        <w:tc>
          <w:tcPr>
            <w:tcW w:w="2796" w:type="dxa"/>
            <w:vAlign w:val="center"/>
          </w:tcPr>
          <w:p w14:paraId="76CC4520" w14:textId="46EC7C02" w:rsidR="006A0088" w:rsidRPr="005C03EB" w:rsidRDefault="006A0088" w:rsidP="005B6A8A">
            <w:pPr>
              <w:tabs>
                <w:tab w:val="left" w:pos="567"/>
                <w:tab w:val="left" w:pos="1134"/>
              </w:tabs>
              <w:spacing w:after="0"/>
              <w:jc w:val="left"/>
              <w:rPr>
                <w:rFonts w:cs="Arial"/>
              </w:rPr>
            </w:pPr>
            <w:r w:rsidRPr="005C03EB">
              <w:rPr>
                <w:rFonts w:cs="Arial"/>
              </w:rPr>
              <w:t>Incremental Pressure</w:t>
            </w:r>
          </w:p>
        </w:tc>
        <w:tc>
          <w:tcPr>
            <w:tcW w:w="0" w:type="auto"/>
            <w:vAlign w:val="center"/>
          </w:tcPr>
          <w:p w14:paraId="1584CBF9" w14:textId="795E3B67" w:rsidR="006A0088" w:rsidRPr="005C03EB" w:rsidRDefault="006A0088" w:rsidP="005B6A8A">
            <w:pPr>
              <w:tabs>
                <w:tab w:val="left" w:pos="567"/>
                <w:tab w:val="left" w:pos="1134"/>
              </w:tabs>
              <w:spacing w:after="0"/>
              <w:jc w:val="center"/>
              <w:rPr>
                <w:rFonts w:cs="Arial"/>
              </w:rPr>
            </w:pPr>
            <w:r w:rsidRPr="005C03EB">
              <w:rPr>
                <w:rFonts w:cs="Arial"/>
              </w:rPr>
              <w:t>2.339</w:t>
            </w:r>
          </w:p>
        </w:tc>
        <w:tc>
          <w:tcPr>
            <w:tcW w:w="0" w:type="auto"/>
            <w:vAlign w:val="center"/>
          </w:tcPr>
          <w:p w14:paraId="2291BFF0" w14:textId="3ED72373" w:rsidR="006A0088" w:rsidRPr="005C03EB" w:rsidRDefault="00270A7A" w:rsidP="005B6A8A">
            <w:pPr>
              <w:tabs>
                <w:tab w:val="left" w:pos="567"/>
                <w:tab w:val="left" w:pos="1134"/>
              </w:tabs>
              <w:spacing w:after="0"/>
              <w:jc w:val="center"/>
              <w:rPr>
                <w:rFonts w:cs="Arial"/>
              </w:rPr>
            </w:pPr>
            <w:r>
              <w:rPr>
                <w:rFonts w:cs="Arial"/>
              </w:rPr>
              <w:t>2.160</w:t>
            </w:r>
          </w:p>
        </w:tc>
        <w:tc>
          <w:tcPr>
            <w:tcW w:w="0" w:type="auto"/>
            <w:vAlign w:val="center"/>
          </w:tcPr>
          <w:p w14:paraId="4C7D21AB" w14:textId="324299FB" w:rsidR="006A0088" w:rsidRPr="005C03EB" w:rsidRDefault="006A0088" w:rsidP="00270A7A">
            <w:pPr>
              <w:tabs>
                <w:tab w:val="left" w:pos="567"/>
                <w:tab w:val="left" w:pos="1134"/>
              </w:tabs>
              <w:spacing w:after="0"/>
              <w:jc w:val="center"/>
              <w:rPr>
                <w:rFonts w:cs="Arial"/>
              </w:rPr>
            </w:pPr>
            <w:r w:rsidRPr="005C03EB">
              <w:rPr>
                <w:rFonts w:cs="Arial"/>
              </w:rPr>
              <w:t>1.68</w:t>
            </w:r>
            <w:r w:rsidR="00270A7A">
              <w:rPr>
                <w:rFonts w:cs="Arial"/>
              </w:rPr>
              <w:t>4</w:t>
            </w:r>
          </w:p>
        </w:tc>
        <w:tc>
          <w:tcPr>
            <w:tcW w:w="0" w:type="auto"/>
            <w:vAlign w:val="center"/>
          </w:tcPr>
          <w:p w14:paraId="778181E6" w14:textId="5D57339E" w:rsidR="006A0088" w:rsidRPr="005C03EB" w:rsidRDefault="006A0088" w:rsidP="005B6A8A">
            <w:pPr>
              <w:tabs>
                <w:tab w:val="left" w:pos="567"/>
                <w:tab w:val="left" w:pos="1134"/>
              </w:tabs>
              <w:spacing w:after="0"/>
              <w:jc w:val="center"/>
              <w:rPr>
                <w:rFonts w:cs="Arial"/>
              </w:rPr>
            </w:pPr>
            <w:r w:rsidRPr="005C03EB">
              <w:rPr>
                <w:rFonts w:cs="Arial"/>
              </w:rPr>
              <w:t>1.329</w:t>
            </w:r>
          </w:p>
        </w:tc>
        <w:tc>
          <w:tcPr>
            <w:tcW w:w="1095" w:type="dxa"/>
            <w:vAlign w:val="center"/>
          </w:tcPr>
          <w:p w14:paraId="3E613A28" w14:textId="2EC627B5" w:rsidR="006A0088" w:rsidRPr="005C03EB" w:rsidRDefault="00001DA0" w:rsidP="005B6A8A">
            <w:pPr>
              <w:tabs>
                <w:tab w:val="left" w:pos="567"/>
                <w:tab w:val="left" w:pos="1134"/>
              </w:tabs>
              <w:spacing w:after="0"/>
              <w:jc w:val="center"/>
              <w:rPr>
                <w:rFonts w:cs="Arial"/>
                <w:b/>
              </w:rPr>
            </w:pPr>
            <w:r w:rsidRPr="005C03EB">
              <w:rPr>
                <w:rFonts w:cs="Arial"/>
                <w:b/>
              </w:rPr>
              <w:t>7.512</w:t>
            </w:r>
          </w:p>
        </w:tc>
      </w:tr>
      <w:tr w:rsidR="00001DA0" w:rsidRPr="00001DA0" w14:paraId="1E1ADE3E" w14:textId="77777777" w:rsidTr="005C03EB">
        <w:trPr>
          <w:trHeight w:val="593"/>
          <w:jc w:val="center"/>
        </w:trPr>
        <w:tc>
          <w:tcPr>
            <w:tcW w:w="2796" w:type="dxa"/>
            <w:vAlign w:val="center"/>
          </w:tcPr>
          <w:p w14:paraId="16CDEF51" w14:textId="07CCA893" w:rsidR="00001DA0" w:rsidRPr="005C03EB" w:rsidRDefault="00001DA0" w:rsidP="005B6A8A">
            <w:pPr>
              <w:tabs>
                <w:tab w:val="left" w:pos="567"/>
                <w:tab w:val="left" w:pos="1134"/>
              </w:tabs>
              <w:spacing w:after="0"/>
              <w:jc w:val="left"/>
              <w:rPr>
                <w:rFonts w:cs="Arial"/>
                <w:b/>
              </w:rPr>
            </w:pPr>
            <w:r w:rsidRPr="005C03EB">
              <w:rPr>
                <w:rFonts w:cs="Arial"/>
                <w:b/>
              </w:rPr>
              <w:t>Revised Pay Budget Requirement</w:t>
            </w:r>
          </w:p>
        </w:tc>
        <w:tc>
          <w:tcPr>
            <w:tcW w:w="0" w:type="auto"/>
            <w:vAlign w:val="center"/>
          </w:tcPr>
          <w:p w14:paraId="7562A674" w14:textId="516BBDC8" w:rsidR="00001DA0" w:rsidRPr="005C03EB" w:rsidRDefault="00001DA0" w:rsidP="005B6A8A">
            <w:pPr>
              <w:tabs>
                <w:tab w:val="left" w:pos="567"/>
                <w:tab w:val="left" w:pos="1134"/>
              </w:tabs>
              <w:spacing w:after="0"/>
              <w:jc w:val="center"/>
              <w:rPr>
                <w:rFonts w:cs="Arial"/>
                <w:b/>
              </w:rPr>
            </w:pPr>
            <w:r w:rsidRPr="005C03EB">
              <w:rPr>
                <w:rFonts w:cs="Arial"/>
                <w:b/>
              </w:rPr>
              <w:t>5.446</w:t>
            </w:r>
          </w:p>
        </w:tc>
        <w:tc>
          <w:tcPr>
            <w:tcW w:w="0" w:type="auto"/>
            <w:vAlign w:val="center"/>
          </w:tcPr>
          <w:p w14:paraId="64989A89" w14:textId="2D5C8C35" w:rsidR="00001DA0" w:rsidRPr="005C03EB" w:rsidRDefault="00001DA0" w:rsidP="005B6A8A">
            <w:pPr>
              <w:tabs>
                <w:tab w:val="left" w:pos="567"/>
                <w:tab w:val="left" w:pos="1134"/>
              </w:tabs>
              <w:spacing w:after="0"/>
              <w:jc w:val="center"/>
              <w:rPr>
                <w:rFonts w:cs="Arial"/>
                <w:b/>
              </w:rPr>
            </w:pPr>
            <w:r w:rsidRPr="005C03EB">
              <w:rPr>
                <w:rFonts w:cs="Arial"/>
                <w:b/>
              </w:rPr>
              <w:t>5.130</w:t>
            </w:r>
          </w:p>
        </w:tc>
        <w:tc>
          <w:tcPr>
            <w:tcW w:w="0" w:type="auto"/>
            <w:vAlign w:val="center"/>
          </w:tcPr>
          <w:p w14:paraId="4D6D7746" w14:textId="527B8BF8" w:rsidR="00001DA0" w:rsidRPr="005C03EB" w:rsidRDefault="00001DA0" w:rsidP="005B6A8A">
            <w:pPr>
              <w:tabs>
                <w:tab w:val="left" w:pos="567"/>
                <w:tab w:val="left" w:pos="1134"/>
              </w:tabs>
              <w:spacing w:after="0"/>
              <w:jc w:val="center"/>
              <w:rPr>
                <w:rFonts w:cs="Arial"/>
                <w:b/>
              </w:rPr>
            </w:pPr>
            <w:r w:rsidRPr="005C03EB">
              <w:rPr>
                <w:rFonts w:cs="Arial"/>
                <w:b/>
              </w:rPr>
              <w:t>5.132</w:t>
            </w:r>
          </w:p>
        </w:tc>
        <w:tc>
          <w:tcPr>
            <w:tcW w:w="0" w:type="auto"/>
            <w:vAlign w:val="center"/>
          </w:tcPr>
          <w:p w14:paraId="7B859BC8" w14:textId="31244A49" w:rsidR="00001DA0" w:rsidRPr="005C03EB" w:rsidRDefault="00001DA0" w:rsidP="00001DA0">
            <w:pPr>
              <w:tabs>
                <w:tab w:val="left" w:pos="567"/>
                <w:tab w:val="left" w:pos="1134"/>
              </w:tabs>
              <w:spacing w:after="0"/>
              <w:jc w:val="center"/>
              <w:rPr>
                <w:rFonts w:cs="Arial"/>
                <w:b/>
              </w:rPr>
            </w:pPr>
            <w:r w:rsidRPr="005C03EB">
              <w:rPr>
                <w:rFonts w:cs="Arial"/>
                <w:b/>
              </w:rPr>
              <w:t>5.689</w:t>
            </w:r>
          </w:p>
        </w:tc>
        <w:tc>
          <w:tcPr>
            <w:tcW w:w="1095" w:type="dxa"/>
            <w:vAlign w:val="center"/>
          </w:tcPr>
          <w:p w14:paraId="4FB64250" w14:textId="02EE074D" w:rsidR="00001DA0" w:rsidRPr="005C03EB" w:rsidRDefault="00001DA0" w:rsidP="005B6A8A">
            <w:pPr>
              <w:tabs>
                <w:tab w:val="left" w:pos="567"/>
                <w:tab w:val="left" w:pos="1134"/>
              </w:tabs>
              <w:spacing w:after="0"/>
              <w:jc w:val="center"/>
              <w:rPr>
                <w:rFonts w:cs="Arial"/>
                <w:b/>
              </w:rPr>
            </w:pPr>
            <w:r w:rsidRPr="005C03EB">
              <w:rPr>
                <w:rFonts w:cs="Arial"/>
                <w:b/>
              </w:rPr>
              <w:t>21.397</w:t>
            </w:r>
          </w:p>
        </w:tc>
      </w:tr>
      <w:tr w:rsidR="00001DA0" w:rsidRPr="00666242" w14:paraId="6BE0D001" w14:textId="77777777" w:rsidTr="005C03EB">
        <w:trPr>
          <w:trHeight w:val="593"/>
          <w:jc w:val="center"/>
        </w:trPr>
        <w:tc>
          <w:tcPr>
            <w:tcW w:w="2796" w:type="dxa"/>
            <w:vAlign w:val="center"/>
          </w:tcPr>
          <w:p w14:paraId="75007075" w14:textId="77777777" w:rsidR="00001DA0" w:rsidRPr="005C03EB" w:rsidRDefault="00001DA0" w:rsidP="005B6A8A">
            <w:pPr>
              <w:tabs>
                <w:tab w:val="left" w:pos="567"/>
                <w:tab w:val="left" w:pos="1134"/>
              </w:tabs>
              <w:spacing w:after="0"/>
              <w:jc w:val="left"/>
              <w:rPr>
                <w:rFonts w:cs="Arial"/>
              </w:rPr>
            </w:pPr>
          </w:p>
        </w:tc>
        <w:tc>
          <w:tcPr>
            <w:tcW w:w="0" w:type="auto"/>
            <w:vAlign w:val="center"/>
          </w:tcPr>
          <w:p w14:paraId="2CE7223B" w14:textId="77777777" w:rsidR="00001DA0" w:rsidRPr="005C03EB" w:rsidRDefault="00001DA0" w:rsidP="005B6A8A">
            <w:pPr>
              <w:tabs>
                <w:tab w:val="left" w:pos="567"/>
                <w:tab w:val="left" w:pos="1134"/>
              </w:tabs>
              <w:spacing w:after="0"/>
              <w:jc w:val="center"/>
              <w:rPr>
                <w:rFonts w:cs="Arial"/>
              </w:rPr>
            </w:pPr>
          </w:p>
        </w:tc>
        <w:tc>
          <w:tcPr>
            <w:tcW w:w="0" w:type="auto"/>
            <w:vAlign w:val="center"/>
          </w:tcPr>
          <w:p w14:paraId="3A18F04D" w14:textId="77777777" w:rsidR="00001DA0" w:rsidRPr="005C03EB" w:rsidRDefault="00001DA0" w:rsidP="005B6A8A">
            <w:pPr>
              <w:tabs>
                <w:tab w:val="left" w:pos="567"/>
                <w:tab w:val="left" w:pos="1134"/>
              </w:tabs>
              <w:spacing w:after="0"/>
              <w:jc w:val="center"/>
              <w:rPr>
                <w:rFonts w:cs="Arial"/>
              </w:rPr>
            </w:pPr>
          </w:p>
        </w:tc>
        <w:tc>
          <w:tcPr>
            <w:tcW w:w="0" w:type="auto"/>
            <w:vAlign w:val="center"/>
          </w:tcPr>
          <w:p w14:paraId="69C77CA8" w14:textId="77777777" w:rsidR="00001DA0" w:rsidRPr="005C03EB" w:rsidRDefault="00001DA0" w:rsidP="005B6A8A">
            <w:pPr>
              <w:tabs>
                <w:tab w:val="left" w:pos="567"/>
                <w:tab w:val="left" w:pos="1134"/>
              </w:tabs>
              <w:spacing w:after="0"/>
              <w:jc w:val="center"/>
              <w:rPr>
                <w:rFonts w:cs="Arial"/>
              </w:rPr>
            </w:pPr>
          </w:p>
        </w:tc>
        <w:tc>
          <w:tcPr>
            <w:tcW w:w="0" w:type="auto"/>
            <w:vAlign w:val="center"/>
          </w:tcPr>
          <w:p w14:paraId="25062C33" w14:textId="77777777" w:rsidR="00001DA0" w:rsidRPr="005C03EB" w:rsidRDefault="00001DA0" w:rsidP="005B6A8A">
            <w:pPr>
              <w:tabs>
                <w:tab w:val="left" w:pos="567"/>
                <w:tab w:val="left" w:pos="1134"/>
              </w:tabs>
              <w:spacing w:after="0"/>
              <w:jc w:val="center"/>
              <w:rPr>
                <w:rFonts w:cs="Arial"/>
              </w:rPr>
            </w:pPr>
          </w:p>
        </w:tc>
        <w:tc>
          <w:tcPr>
            <w:tcW w:w="1095" w:type="dxa"/>
            <w:vAlign w:val="center"/>
          </w:tcPr>
          <w:p w14:paraId="78DA5AF8" w14:textId="77777777" w:rsidR="00001DA0" w:rsidRPr="005C03EB" w:rsidRDefault="00001DA0" w:rsidP="005B6A8A">
            <w:pPr>
              <w:tabs>
                <w:tab w:val="left" w:pos="567"/>
                <w:tab w:val="left" w:pos="1134"/>
              </w:tabs>
              <w:spacing w:after="0"/>
              <w:jc w:val="center"/>
              <w:rPr>
                <w:rFonts w:cs="Arial"/>
                <w:b/>
              </w:rPr>
            </w:pPr>
          </w:p>
        </w:tc>
      </w:tr>
      <w:tr w:rsidR="00001DA0" w:rsidRPr="00001DA0" w14:paraId="1EEDB569" w14:textId="77777777" w:rsidTr="005C03EB">
        <w:trPr>
          <w:trHeight w:val="593"/>
          <w:jc w:val="center"/>
        </w:trPr>
        <w:tc>
          <w:tcPr>
            <w:tcW w:w="2796" w:type="dxa"/>
            <w:vAlign w:val="center"/>
          </w:tcPr>
          <w:p w14:paraId="6DED3A88" w14:textId="169DBA4D" w:rsidR="00001DA0" w:rsidRPr="005C03EB" w:rsidRDefault="00001DA0" w:rsidP="005B6A8A">
            <w:pPr>
              <w:tabs>
                <w:tab w:val="left" w:pos="567"/>
                <w:tab w:val="left" w:pos="1134"/>
              </w:tabs>
              <w:spacing w:after="0"/>
              <w:jc w:val="left"/>
              <w:rPr>
                <w:rFonts w:cs="Arial"/>
                <w:b/>
              </w:rPr>
            </w:pPr>
            <w:r w:rsidRPr="005C03EB">
              <w:rPr>
                <w:rFonts w:cs="Arial"/>
                <w:b/>
              </w:rPr>
              <w:t>Impact on Financial Gap</w:t>
            </w:r>
          </w:p>
        </w:tc>
        <w:tc>
          <w:tcPr>
            <w:tcW w:w="0" w:type="auto"/>
            <w:vAlign w:val="center"/>
          </w:tcPr>
          <w:p w14:paraId="40EB6F1D" w14:textId="3C00D5AB" w:rsidR="00001DA0" w:rsidRPr="005C03EB" w:rsidRDefault="00001DA0" w:rsidP="005B6A8A">
            <w:pPr>
              <w:tabs>
                <w:tab w:val="left" w:pos="567"/>
                <w:tab w:val="left" w:pos="1134"/>
              </w:tabs>
              <w:spacing w:after="0"/>
              <w:jc w:val="center"/>
              <w:rPr>
                <w:rFonts w:cs="Arial"/>
                <w:b/>
              </w:rPr>
            </w:pPr>
            <w:r w:rsidRPr="005C03EB">
              <w:rPr>
                <w:rFonts w:cs="Arial"/>
                <w:b/>
              </w:rPr>
              <w:t>1.297</w:t>
            </w:r>
          </w:p>
        </w:tc>
        <w:tc>
          <w:tcPr>
            <w:tcW w:w="0" w:type="auto"/>
            <w:vAlign w:val="center"/>
          </w:tcPr>
          <w:p w14:paraId="2312812E" w14:textId="0711D5B8" w:rsidR="00001DA0" w:rsidRPr="005C03EB" w:rsidRDefault="00001DA0" w:rsidP="005B6A8A">
            <w:pPr>
              <w:tabs>
                <w:tab w:val="left" w:pos="567"/>
                <w:tab w:val="left" w:pos="1134"/>
              </w:tabs>
              <w:spacing w:after="0"/>
              <w:jc w:val="center"/>
              <w:rPr>
                <w:rFonts w:cs="Arial"/>
                <w:b/>
              </w:rPr>
            </w:pPr>
            <w:r w:rsidRPr="005C03EB">
              <w:rPr>
                <w:rFonts w:cs="Arial"/>
                <w:b/>
              </w:rPr>
              <w:t>1.841</w:t>
            </w:r>
          </w:p>
        </w:tc>
        <w:tc>
          <w:tcPr>
            <w:tcW w:w="0" w:type="auto"/>
            <w:vAlign w:val="center"/>
          </w:tcPr>
          <w:p w14:paraId="17F28CCB" w14:textId="5240AA17" w:rsidR="00001DA0" w:rsidRPr="005C03EB" w:rsidRDefault="00001DA0" w:rsidP="005B6A8A">
            <w:pPr>
              <w:tabs>
                <w:tab w:val="left" w:pos="567"/>
                <w:tab w:val="left" w:pos="1134"/>
              </w:tabs>
              <w:spacing w:after="0"/>
              <w:jc w:val="center"/>
              <w:rPr>
                <w:rFonts w:cs="Arial"/>
                <w:b/>
              </w:rPr>
            </w:pPr>
            <w:r w:rsidRPr="005C03EB">
              <w:rPr>
                <w:rFonts w:cs="Arial"/>
                <w:b/>
              </w:rPr>
              <w:t>1.764</w:t>
            </w:r>
          </w:p>
        </w:tc>
        <w:tc>
          <w:tcPr>
            <w:tcW w:w="0" w:type="auto"/>
            <w:vAlign w:val="center"/>
          </w:tcPr>
          <w:p w14:paraId="4F0FFB5F" w14:textId="15CA21AE" w:rsidR="00001DA0" w:rsidRPr="005C03EB" w:rsidRDefault="00001DA0" w:rsidP="005B6A8A">
            <w:pPr>
              <w:tabs>
                <w:tab w:val="left" w:pos="567"/>
                <w:tab w:val="left" w:pos="1134"/>
              </w:tabs>
              <w:spacing w:after="0"/>
              <w:jc w:val="center"/>
              <w:rPr>
                <w:rFonts w:cs="Arial"/>
                <w:b/>
              </w:rPr>
            </w:pPr>
            <w:r w:rsidRPr="005C03EB">
              <w:rPr>
                <w:rFonts w:cs="Arial"/>
                <w:b/>
              </w:rPr>
              <w:t>2.261</w:t>
            </w:r>
          </w:p>
        </w:tc>
        <w:tc>
          <w:tcPr>
            <w:tcW w:w="1095" w:type="dxa"/>
            <w:vAlign w:val="center"/>
          </w:tcPr>
          <w:p w14:paraId="332B4B1F" w14:textId="009ABF76" w:rsidR="00001DA0" w:rsidRPr="005C03EB" w:rsidRDefault="00001DA0" w:rsidP="005B6A8A">
            <w:pPr>
              <w:tabs>
                <w:tab w:val="left" w:pos="567"/>
                <w:tab w:val="left" w:pos="1134"/>
              </w:tabs>
              <w:spacing w:after="0"/>
              <w:jc w:val="center"/>
              <w:rPr>
                <w:rFonts w:cs="Arial"/>
                <w:b/>
              </w:rPr>
            </w:pPr>
            <w:r w:rsidRPr="005C03EB">
              <w:rPr>
                <w:rFonts w:cs="Arial"/>
                <w:b/>
              </w:rPr>
              <w:t>7.163</w:t>
            </w:r>
          </w:p>
        </w:tc>
      </w:tr>
    </w:tbl>
    <w:p w14:paraId="432BDEC8" w14:textId="77777777" w:rsidR="00D31557" w:rsidRPr="00666242" w:rsidRDefault="00D31557" w:rsidP="00D31557">
      <w:pPr>
        <w:spacing w:after="0"/>
        <w:rPr>
          <w:rFonts w:cs="Arial"/>
          <w:highlight w:val="yellow"/>
        </w:rPr>
      </w:pPr>
    </w:p>
    <w:p w14:paraId="16A77805" w14:textId="77777777" w:rsidR="00E37841" w:rsidRPr="00666242" w:rsidRDefault="00E37841" w:rsidP="008D5D96">
      <w:pPr>
        <w:spacing w:after="0"/>
        <w:rPr>
          <w:rFonts w:cs="Arial"/>
          <w:highlight w:val="yellow"/>
        </w:rPr>
      </w:pPr>
    </w:p>
    <w:p w14:paraId="5A847E4B" w14:textId="1352EABC" w:rsidR="00D31557" w:rsidRPr="008E0918" w:rsidRDefault="008E0918" w:rsidP="008D5D96">
      <w:pPr>
        <w:spacing w:after="0"/>
        <w:rPr>
          <w:rFonts w:cs="Arial"/>
        </w:rPr>
      </w:pPr>
      <w:r w:rsidRPr="008E0918">
        <w:rPr>
          <w:rFonts w:cs="Arial"/>
        </w:rPr>
        <w:t>It is important to note that the figures detailed above do</w:t>
      </w:r>
      <w:r w:rsidR="002A09EE" w:rsidRPr="008E0918">
        <w:rPr>
          <w:rFonts w:cs="Arial"/>
        </w:rPr>
        <w:t xml:space="preserve"> not include the impact of any </w:t>
      </w:r>
      <w:r w:rsidR="00E6630C">
        <w:rPr>
          <w:rFonts w:cs="Arial"/>
        </w:rPr>
        <w:t>additional adjustments to salary scales to maintain wage differentials and this represents a significant risk in terms of the potential additional cost.</w:t>
      </w:r>
    </w:p>
    <w:p w14:paraId="27EDF417" w14:textId="77777777" w:rsidR="00E57F56" w:rsidRPr="00666242" w:rsidRDefault="00E57F56" w:rsidP="008D5D96">
      <w:pPr>
        <w:spacing w:after="0"/>
        <w:rPr>
          <w:rFonts w:cs="Arial"/>
          <w:b/>
          <w:highlight w:val="yellow"/>
        </w:rPr>
      </w:pPr>
    </w:p>
    <w:p w14:paraId="6EB9DEF5" w14:textId="27B52044" w:rsidR="002A09EE" w:rsidRPr="00E27D2F" w:rsidRDefault="002A09EE" w:rsidP="008D5D96">
      <w:pPr>
        <w:spacing w:after="0"/>
        <w:rPr>
          <w:rFonts w:cs="Arial"/>
          <w:b/>
        </w:rPr>
      </w:pPr>
      <w:r w:rsidRPr="00E27D2F">
        <w:rPr>
          <w:rFonts w:cs="Arial"/>
          <w:b/>
        </w:rPr>
        <w:t>3.2 Price Inflation</w:t>
      </w:r>
      <w:r w:rsidR="00F10592">
        <w:rPr>
          <w:rFonts w:cs="Arial"/>
          <w:b/>
        </w:rPr>
        <w:t xml:space="preserve"> and Cost Changes</w:t>
      </w:r>
    </w:p>
    <w:p w14:paraId="6BAB5D94" w14:textId="77777777" w:rsidR="002A09EE" w:rsidRPr="00E27D2F" w:rsidRDefault="002A09EE" w:rsidP="008D5D96">
      <w:pPr>
        <w:spacing w:after="0"/>
        <w:rPr>
          <w:rFonts w:cs="Arial"/>
          <w:b/>
        </w:rPr>
      </w:pPr>
    </w:p>
    <w:p w14:paraId="2831EB48" w14:textId="27E18A81" w:rsidR="002A09EE" w:rsidRPr="00E27D2F" w:rsidRDefault="004866FB" w:rsidP="002A09EE">
      <w:pPr>
        <w:spacing w:after="0"/>
        <w:rPr>
          <w:rFonts w:cs="Arial"/>
        </w:rPr>
      </w:pPr>
      <w:r w:rsidRPr="00E27D2F">
        <w:rPr>
          <w:rFonts w:cs="Arial"/>
        </w:rPr>
        <w:t>C</w:t>
      </w:r>
      <w:r w:rsidR="002A09EE" w:rsidRPr="00E27D2F">
        <w:rPr>
          <w:rFonts w:cs="Arial"/>
        </w:rPr>
        <w:t>ontractual price increases represent a significant cost pressure</w:t>
      </w:r>
      <w:r w:rsidR="00E27D2F" w:rsidRPr="00E27D2F">
        <w:rPr>
          <w:rFonts w:cs="Arial"/>
        </w:rPr>
        <w:t xml:space="preserve"> to the County Council. </w:t>
      </w:r>
      <w:r w:rsidRPr="00E27D2F">
        <w:rPr>
          <w:rFonts w:cs="Arial"/>
        </w:rPr>
        <w:t>T</w:t>
      </w:r>
      <w:r w:rsidR="002A09EE" w:rsidRPr="00E27D2F">
        <w:rPr>
          <w:rFonts w:cs="Arial"/>
        </w:rPr>
        <w:t xml:space="preserve">he assumptions have been </w:t>
      </w:r>
      <w:r w:rsidRPr="00E27D2F">
        <w:rPr>
          <w:rFonts w:cs="Arial"/>
        </w:rPr>
        <w:t xml:space="preserve">subject to regular review </w:t>
      </w:r>
      <w:r w:rsidR="002A09EE" w:rsidRPr="00E27D2F">
        <w:rPr>
          <w:rFonts w:cs="Arial"/>
        </w:rPr>
        <w:t xml:space="preserve">by services </w:t>
      </w:r>
      <w:r w:rsidR="00145DBC">
        <w:rPr>
          <w:rFonts w:cs="Arial"/>
        </w:rPr>
        <w:t>with an increase of £3.111</w:t>
      </w:r>
      <w:r w:rsidR="002A09EE" w:rsidRPr="00E27D2F">
        <w:rPr>
          <w:rFonts w:cs="Arial"/>
        </w:rPr>
        <w:t>m</w:t>
      </w:r>
      <w:r w:rsidRPr="00E27D2F">
        <w:rPr>
          <w:rFonts w:cs="Arial"/>
        </w:rPr>
        <w:t xml:space="preserve"> </w:t>
      </w:r>
      <w:r w:rsidR="00E27D2F" w:rsidRPr="00E27D2F">
        <w:rPr>
          <w:rFonts w:cs="Arial"/>
        </w:rPr>
        <w:t>identified over the 4 year period</w:t>
      </w:r>
      <w:r w:rsidRPr="00E27D2F">
        <w:rPr>
          <w:rFonts w:cs="Arial"/>
        </w:rPr>
        <w:t xml:space="preserve">. </w:t>
      </w:r>
      <w:r w:rsidR="00935FA0" w:rsidRPr="00E27D2F">
        <w:rPr>
          <w:rFonts w:cs="Arial"/>
        </w:rPr>
        <w:t xml:space="preserve"> </w:t>
      </w:r>
    </w:p>
    <w:p w14:paraId="01DBCA91" w14:textId="77777777" w:rsidR="000A747F" w:rsidRPr="00666242" w:rsidRDefault="000A747F" w:rsidP="002A09EE">
      <w:pPr>
        <w:spacing w:after="0"/>
        <w:rPr>
          <w:rFonts w:cs="Arial"/>
          <w:highlight w:val="yellow"/>
        </w:rPr>
      </w:pPr>
    </w:p>
    <w:p w14:paraId="67F6D146" w14:textId="77777777" w:rsidR="002A09EE" w:rsidRPr="00666242" w:rsidRDefault="002A09EE" w:rsidP="002A09EE">
      <w:pPr>
        <w:tabs>
          <w:tab w:val="left" w:pos="567"/>
          <w:tab w:val="left" w:pos="1134"/>
        </w:tabs>
        <w:spacing w:after="0"/>
        <w:rPr>
          <w:rFonts w:cs="Arial"/>
          <w:highlight w:val="yellow"/>
        </w:rPr>
      </w:pPr>
    </w:p>
    <w:tbl>
      <w:tblPr>
        <w:tblStyle w:val="TableGrid"/>
        <w:tblW w:w="8197" w:type="dxa"/>
        <w:jc w:val="center"/>
        <w:tblLook w:val="04A0" w:firstRow="1" w:lastRow="0" w:firstColumn="1" w:lastColumn="0" w:noHBand="0" w:noVBand="1"/>
      </w:tblPr>
      <w:tblGrid>
        <w:gridCol w:w="2878"/>
        <w:gridCol w:w="1084"/>
        <w:gridCol w:w="1084"/>
        <w:gridCol w:w="1084"/>
        <w:gridCol w:w="1084"/>
        <w:gridCol w:w="983"/>
      </w:tblGrid>
      <w:tr w:rsidR="00E27D2F" w:rsidRPr="00E27D2F" w14:paraId="2F03ACA7" w14:textId="77777777" w:rsidTr="00957B05">
        <w:trPr>
          <w:trHeight w:val="684"/>
          <w:jc w:val="center"/>
        </w:trPr>
        <w:tc>
          <w:tcPr>
            <w:tcW w:w="0" w:type="auto"/>
            <w:shd w:val="clear" w:color="auto" w:fill="BFBFBF" w:themeFill="background1" w:themeFillShade="BF"/>
          </w:tcPr>
          <w:p w14:paraId="02C757E8" w14:textId="77777777" w:rsidR="00E27D2F" w:rsidRPr="00957B05" w:rsidRDefault="00E27D2F" w:rsidP="005B6A8A">
            <w:pPr>
              <w:tabs>
                <w:tab w:val="left" w:pos="567"/>
                <w:tab w:val="left" w:pos="1134"/>
              </w:tabs>
              <w:spacing w:after="0"/>
              <w:rPr>
                <w:rFonts w:cs="Arial"/>
              </w:rPr>
            </w:pPr>
          </w:p>
        </w:tc>
        <w:tc>
          <w:tcPr>
            <w:tcW w:w="0" w:type="auto"/>
            <w:shd w:val="clear" w:color="auto" w:fill="BFBFBF" w:themeFill="background1" w:themeFillShade="BF"/>
            <w:vAlign w:val="center"/>
          </w:tcPr>
          <w:p w14:paraId="30D1A183" w14:textId="77777777" w:rsidR="00E27D2F" w:rsidRPr="00957B05" w:rsidRDefault="00E27D2F" w:rsidP="005B6A8A">
            <w:pPr>
              <w:tabs>
                <w:tab w:val="left" w:pos="567"/>
                <w:tab w:val="left" w:pos="1134"/>
              </w:tabs>
              <w:spacing w:after="0"/>
              <w:jc w:val="center"/>
              <w:rPr>
                <w:rFonts w:cs="Arial"/>
                <w:b/>
              </w:rPr>
            </w:pPr>
            <w:r w:rsidRPr="00957B05">
              <w:rPr>
                <w:rFonts w:cs="Arial"/>
                <w:b/>
              </w:rPr>
              <w:t>2017/18</w:t>
            </w:r>
          </w:p>
          <w:p w14:paraId="752DDF40" w14:textId="77777777" w:rsidR="00E27D2F" w:rsidRPr="00957B05" w:rsidRDefault="00E27D2F" w:rsidP="005B6A8A">
            <w:pPr>
              <w:tabs>
                <w:tab w:val="left" w:pos="567"/>
                <w:tab w:val="left" w:pos="1134"/>
              </w:tabs>
              <w:spacing w:after="0"/>
              <w:jc w:val="center"/>
              <w:rPr>
                <w:rFonts w:cs="Arial"/>
                <w:b/>
              </w:rPr>
            </w:pPr>
            <w:r w:rsidRPr="00957B05">
              <w:rPr>
                <w:rFonts w:cs="Arial"/>
                <w:b/>
              </w:rPr>
              <w:t>£m</w:t>
            </w:r>
          </w:p>
        </w:tc>
        <w:tc>
          <w:tcPr>
            <w:tcW w:w="0" w:type="auto"/>
            <w:shd w:val="clear" w:color="auto" w:fill="BFBFBF" w:themeFill="background1" w:themeFillShade="BF"/>
            <w:vAlign w:val="center"/>
          </w:tcPr>
          <w:p w14:paraId="7BDA9115" w14:textId="77777777" w:rsidR="00E27D2F" w:rsidRPr="00957B05" w:rsidRDefault="00E27D2F" w:rsidP="005B6A8A">
            <w:pPr>
              <w:tabs>
                <w:tab w:val="left" w:pos="567"/>
                <w:tab w:val="left" w:pos="1134"/>
              </w:tabs>
              <w:spacing w:after="0"/>
              <w:jc w:val="center"/>
              <w:rPr>
                <w:rFonts w:cs="Arial"/>
                <w:b/>
              </w:rPr>
            </w:pPr>
            <w:r w:rsidRPr="00957B05">
              <w:rPr>
                <w:rFonts w:cs="Arial"/>
                <w:b/>
              </w:rPr>
              <w:t>2018/19</w:t>
            </w:r>
          </w:p>
          <w:p w14:paraId="0AFCD622" w14:textId="77777777" w:rsidR="00E27D2F" w:rsidRPr="00957B05" w:rsidRDefault="00E27D2F" w:rsidP="005B6A8A">
            <w:pPr>
              <w:tabs>
                <w:tab w:val="left" w:pos="567"/>
                <w:tab w:val="left" w:pos="1134"/>
              </w:tabs>
              <w:spacing w:after="0"/>
              <w:jc w:val="center"/>
              <w:rPr>
                <w:rFonts w:cs="Arial"/>
                <w:b/>
              </w:rPr>
            </w:pPr>
            <w:r w:rsidRPr="00957B05">
              <w:rPr>
                <w:rFonts w:cs="Arial"/>
                <w:b/>
              </w:rPr>
              <w:t>£m</w:t>
            </w:r>
          </w:p>
        </w:tc>
        <w:tc>
          <w:tcPr>
            <w:tcW w:w="0" w:type="auto"/>
            <w:shd w:val="clear" w:color="auto" w:fill="BFBFBF" w:themeFill="background1" w:themeFillShade="BF"/>
            <w:vAlign w:val="center"/>
          </w:tcPr>
          <w:p w14:paraId="20AF8170" w14:textId="77777777" w:rsidR="00E27D2F" w:rsidRPr="00957B05" w:rsidRDefault="00E27D2F" w:rsidP="005B6A8A">
            <w:pPr>
              <w:tabs>
                <w:tab w:val="left" w:pos="567"/>
                <w:tab w:val="left" w:pos="1134"/>
              </w:tabs>
              <w:spacing w:after="0"/>
              <w:jc w:val="center"/>
              <w:rPr>
                <w:rFonts w:cs="Arial"/>
                <w:b/>
              </w:rPr>
            </w:pPr>
            <w:r w:rsidRPr="00957B05">
              <w:rPr>
                <w:rFonts w:cs="Arial"/>
                <w:b/>
              </w:rPr>
              <w:t>2019/20</w:t>
            </w:r>
          </w:p>
          <w:p w14:paraId="08056A2D" w14:textId="77777777" w:rsidR="00E27D2F" w:rsidRPr="00957B05" w:rsidRDefault="00E27D2F" w:rsidP="005B6A8A">
            <w:pPr>
              <w:tabs>
                <w:tab w:val="left" w:pos="567"/>
                <w:tab w:val="left" w:pos="1134"/>
              </w:tabs>
              <w:spacing w:after="0"/>
              <w:jc w:val="center"/>
              <w:rPr>
                <w:rFonts w:cs="Arial"/>
                <w:b/>
              </w:rPr>
            </w:pPr>
            <w:r w:rsidRPr="00957B05">
              <w:rPr>
                <w:rFonts w:cs="Arial"/>
                <w:b/>
              </w:rPr>
              <w:t>£m</w:t>
            </w:r>
          </w:p>
        </w:tc>
        <w:tc>
          <w:tcPr>
            <w:tcW w:w="0" w:type="auto"/>
            <w:shd w:val="clear" w:color="auto" w:fill="BFBFBF" w:themeFill="background1" w:themeFillShade="BF"/>
            <w:vAlign w:val="center"/>
          </w:tcPr>
          <w:p w14:paraId="52C6F492" w14:textId="77777777" w:rsidR="00E27D2F" w:rsidRPr="00957B05" w:rsidRDefault="00E27D2F" w:rsidP="005B6A8A">
            <w:pPr>
              <w:tabs>
                <w:tab w:val="left" w:pos="567"/>
                <w:tab w:val="left" w:pos="1134"/>
              </w:tabs>
              <w:spacing w:after="0"/>
              <w:jc w:val="center"/>
              <w:rPr>
                <w:rFonts w:cs="Arial"/>
                <w:b/>
              </w:rPr>
            </w:pPr>
            <w:r w:rsidRPr="00957B05">
              <w:rPr>
                <w:rFonts w:cs="Arial"/>
                <w:b/>
              </w:rPr>
              <w:t>2020/21</w:t>
            </w:r>
          </w:p>
          <w:p w14:paraId="35A17608" w14:textId="77777777" w:rsidR="00E27D2F" w:rsidRPr="00957B05" w:rsidRDefault="00E27D2F" w:rsidP="005B6A8A">
            <w:pPr>
              <w:tabs>
                <w:tab w:val="left" w:pos="567"/>
                <w:tab w:val="left" w:pos="1134"/>
              </w:tabs>
              <w:spacing w:after="0"/>
              <w:jc w:val="center"/>
              <w:rPr>
                <w:rFonts w:cs="Arial"/>
                <w:b/>
              </w:rPr>
            </w:pPr>
            <w:r w:rsidRPr="00957B05">
              <w:rPr>
                <w:rFonts w:cs="Arial"/>
                <w:b/>
              </w:rPr>
              <w:t>£m</w:t>
            </w:r>
          </w:p>
        </w:tc>
        <w:tc>
          <w:tcPr>
            <w:tcW w:w="983" w:type="dxa"/>
            <w:shd w:val="clear" w:color="auto" w:fill="BFBFBF" w:themeFill="background1" w:themeFillShade="BF"/>
            <w:vAlign w:val="center"/>
          </w:tcPr>
          <w:p w14:paraId="0E39E774" w14:textId="77777777" w:rsidR="00E27D2F" w:rsidRPr="00957B05" w:rsidRDefault="00E27D2F" w:rsidP="005B6A8A">
            <w:pPr>
              <w:tabs>
                <w:tab w:val="left" w:pos="567"/>
                <w:tab w:val="left" w:pos="1134"/>
              </w:tabs>
              <w:spacing w:after="0"/>
              <w:jc w:val="center"/>
              <w:rPr>
                <w:rFonts w:cs="Arial"/>
                <w:b/>
              </w:rPr>
            </w:pPr>
            <w:r w:rsidRPr="00957B05">
              <w:rPr>
                <w:rFonts w:cs="Arial"/>
                <w:b/>
              </w:rPr>
              <w:t>Total</w:t>
            </w:r>
          </w:p>
          <w:p w14:paraId="5E70F8BF" w14:textId="77777777" w:rsidR="00E27D2F" w:rsidRPr="00957B05" w:rsidRDefault="00E27D2F" w:rsidP="005B6A8A">
            <w:pPr>
              <w:tabs>
                <w:tab w:val="left" w:pos="567"/>
                <w:tab w:val="left" w:pos="1134"/>
              </w:tabs>
              <w:spacing w:after="0"/>
              <w:jc w:val="center"/>
              <w:rPr>
                <w:rFonts w:cs="Arial"/>
                <w:b/>
              </w:rPr>
            </w:pPr>
            <w:r w:rsidRPr="00957B05">
              <w:rPr>
                <w:rFonts w:cs="Arial"/>
                <w:b/>
              </w:rPr>
              <w:t>£m</w:t>
            </w:r>
          </w:p>
        </w:tc>
      </w:tr>
      <w:tr w:rsidR="00E27D2F" w:rsidRPr="00E27D2F" w14:paraId="59CF73C7" w14:textId="77777777" w:rsidTr="00957B05">
        <w:trPr>
          <w:trHeight w:val="684"/>
          <w:jc w:val="center"/>
        </w:trPr>
        <w:tc>
          <w:tcPr>
            <w:tcW w:w="0" w:type="auto"/>
            <w:vAlign w:val="center"/>
          </w:tcPr>
          <w:p w14:paraId="3B034069" w14:textId="77777777" w:rsidR="00E27D2F" w:rsidRPr="00957B05" w:rsidRDefault="00E27D2F" w:rsidP="005B6A8A">
            <w:pPr>
              <w:tabs>
                <w:tab w:val="left" w:pos="567"/>
                <w:tab w:val="left" w:pos="1134"/>
              </w:tabs>
              <w:spacing w:after="0"/>
              <w:jc w:val="left"/>
              <w:rPr>
                <w:rFonts w:cs="Arial"/>
              </w:rPr>
            </w:pPr>
            <w:r w:rsidRPr="00957B05">
              <w:rPr>
                <w:rFonts w:cs="Arial"/>
              </w:rPr>
              <w:t>Total price inflation</w:t>
            </w:r>
          </w:p>
        </w:tc>
        <w:tc>
          <w:tcPr>
            <w:tcW w:w="0" w:type="auto"/>
            <w:vAlign w:val="center"/>
          </w:tcPr>
          <w:p w14:paraId="2C9D0BF2" w14:textId="08BED752" w:rsidR="00E27D2F" w:rsidRPr="00957B05" w:rsidRDefault="00E27D2F" w:rsidP="005B6A8A">
            <w:pPr>
              <w:tabs>
                <w:tab w:val="left" w:pos="567"/>
                <w:tab w:val="left" w:pos="1134"/>
              </w:tabs>
              <w:spacing w:after="0"/>
              <w:jc w:val="center"/>
              <w:rPr>
                <w:rFonts w:cs="Arial"/>
              </w:rPr>
            </w:pPr>
            <w:r w:rsidRPr="00957B05">
              <w:rPr>
                <w:rFonts w:cs="Arial"/>
              </w:rPr>
              <w:t>16.698</w:t>
            </w:r>
          </w:p>
        </w:tc>
        <w:tc>
          <w:tcPr>
            <w:tcW w:w="0" w:type="auto"/>
            <w:vAlign w:val="center"/>
          </w:tcPr>
          <w:p w14:paraId="1FE01E1B" w14:textId="559B0B3E" w:rsidR="00E27D2F" w:rsidRPr="00957B05" w:rsidRDefault="00E27D2F" w:rsidP="005B6A8A">
            <w:pPr>
              <w:tabs>
                <w:tab w:val="left" w:pos="567"/>
                <w:tab w:val="left" w:pos="1134"/>
              </w:tabs>
              <w:spacing w:after="0"/>
              <w:jc w:val="center"/>
              <w:rPr>
                <w:rFonts w:cs="Arial"/>
              </w:rPr>
            </w:pPr>
            <w:r w:rsidRPr="00957B05">
              <w:rPr>
                <w:rFonts w:cs="Arial"/>
              </w:rPr>
              <w:t>16.894</w:t>
            </w:r>
          </w:p>
        </w:tc>
        <w:tc>
          <w:tcPr>
            <w:tcW w:w="0" w:type="auto"/>
            <w:vAlign w:val="center"/>
          </w:tcPr>
          <w:p w14:paraId="73EFA774" w14:textId="20C27CA7" w:rsidR="00E27D2F" w:rsidRPr="00957B05" w:rsidRDefault="00E27D2F" w:rsidP="005B6A8A">
            <w:pPr>
              <w:tabs>
                <w:tab w:val="left" w:pos="567"/>
                <w:tab w:val="left" w:pos="1134"/>
              </w:tabs>
              <w:spacing w:after="0"/>
              <w:jc w:val="center"/>
              <w:rPr>
                <w:rFonts w:cs="Arial"/>
              </w:rPr>
            </w:pPr>
            <w:r w:rsidRPr="00957B05">
              <w:rPr>
                <w:rFonts w:cs="Arial"/>
              </w:rPr>
              <w:t>17.813</w:t>
            </w:r>
          </w:p>
        </w:tc>
        <w:tc>
          <w:tcPr>
            <w:tcW w:w="0" w:type="auto"/>
            <w:vAlign w:val="center"/>
          </w:tcPr>
          <w:p w14:paraId="4BF80F71" w14:textId="68C3F002" w:rsidR="00E27D2F" w:rsidRPr="00957B05" w:rsidRDefault="00E27D2F" w:rsidP="005B6A8A">
            <w:pPr>
              <w:tabs>
                <w:tab w:val="left" w:pos="567"/>
                <w:tab w:val="left" w:pos="1134"/>
              </w:tabs>
              <w:spacing w:after="0"/>
              <w:jc w:val="center"/>
              <w:rPr>
                <w:rFonts w:cs="Arial"/>
              </w:rPr>
            </w:pPr>
            <w:r w:rsidRPr="00957B05">
              <w:rPr>
                <w:rFonts w:cs="Arial"/>
              </w:rPr>
              <w:t>19.731</w:t>
            </w:r>
          </w:p>
        </w:tc>
        <w:tc>
          <w:tcPr>
            <w:tcW w:w="983" w:type="dxa"/>
            <w:vAlign w:val="center"/>
          </w:tcPr>
          <w:p w14:paraId="06753719" w14:textId="61BC2EFC" w:rsidR="00E27D2F" w:rsidRPr="00957B05" w:rsidRDefault="00E27D2F" w:rsidP="007F4050">
            <w:pPr>
              <w:tabs>
                <w:tab w:val="left" w:pos="567"/>
                <w:tab w:val="left" w:pos="1134"/>
              </w:tabs>
              <w:spacing w:after="0"/>
              <w:jc w:val="center"/>
              <w:rPr>
                <w:rFonts w:cs="Arial"/>
                <w:b/>
              </w:rPr>
            </w:pPr>
            <w:r w:rsidRPr="00957B05">
              <w:rPr>
                <w:rFonts w:cs="Arial"/>
                <w:b/>
              </w:rPr>
              <w:t>71.136</w:t>
            </w:r>
          </w:p>
        </w:tc>
      </w:tr>
      <w:tr w:rsidR="00E27D2F" w:rsidRPr="00666242" w14:paraId="7AA64320" w14:textId="77777777" w:rsidTr="00957B05">
        <w:trPr>
          <w:trHeight w:val="401"/>
          <w:jc w:val="center"/>
        </w:trPr>
        <w:tc>
          <w:tcPr>
            <w:tcW w:w="0" w:type="auto"/>
            <w:vAlign w:val="center"/>
          </w:tcPr>
          <w:p w14:paraId="1D381113" w14:textId="77777777" w:rsidR="00E27D2F" w:rsidRPr="00F10592" w:rsidRDefault="00E27D2F" w:rsidP="005B6A8A">
            <w:pPr>
              <w:tabs>
                <w:tab w:val="left" w:pos="567"/>
                <w:tab w:val="left" w:pos="1134"/>
              </w:tabs>
              <w:spacing w:after="0"/>
              <w:jc w:val="left"/>
              <w:rPr>
                <w:rFonts w:cs="Arial"/>
              </w:rPr>
            </w:pPr>
          </w:p>
        </w:tc>
        <w:tc>
          <w:tcPr>
            <w:tcW w:w="0" w:type="auto"/>
            <w:vAlign w:val="center"/>
          </w:tcPr>
          <w:p w14:paraId="0AF3D6C1" w14:textId="77777777" w:rsidR="00E27D2F" w:rsidRPr="00F10592" w:rsidRDefault="00E27D2F" w:rsidP="005B6A8A">
            <w:pPr>
              <w:tabs>
                <w:tab w:val="left" w:pos="567"/>
                <w:tab w:val="left" w:pos="1134"/>
              </w:tabs>
              <w:spacing w:after="0"/>
              <w:jc w:val="center"/>
              <w:rPr>
                <w:rFonts w:cs="Arial"/>
              </w:rPr>
            </w:pPr>
          </w:p>
        </w:tc>
        <w:tc>
          <w:tcPr>
            <w:tcW w:w="0" w:type="auto"/>
            <w:vAlign w:val="center"/>
          </w:tcPr>
          <w:p w14:paraId="47825D37" w14:textId="77777777" w:rsidR="00E27D2F" w:rsidRPr="00F10592" w:rsidRDefault="00E27D2F" w:rsidP="005B6A8A">
            <w:pPr>
              <w:tabs>
                <w:tab w:val="left" w:pos="567"/>
                <w:tab w:val="left" w:pos="1134"/>
              </w:tabs>
              <w:spacing w:after="0"/>
              <w:jc w:val="center"/>
              <w:rPr>
                <w:rFonts w:cs="Arial"/>
              </w:rPr>
            </w:pPr>
          </w:p>
        </w:tc>
        <w:tc>
          <w:tcPr>
            <w:tcW w:w="0" w:type="auto"/>
            <w:vAlign w:val="center"/>
          </w:tcPr>
          <w:p w14:paraId="6F3EDC2C" w14:textId="77777777" w:rsidR="00E27D2F" w:rsidRPr="00F10592" w:rsidRDefault="00E27D2F" w:rsidP="005B6A8A">
            <w:pPr>
              <w:tabs>
                <w:tab w:val="left" w:pos="567"/>
                <w:tab w:val="left" w:pos="1134"/>
              </w:tabs>
              <w:spacing w:after="0"/>
              <w:jc w:val="center"/>
              <w:rPr>
                <w:rFonts w:cs="Arial"/>
              </w:rPr>
            </w:pPr>
          </w:p>
        </w:tc>
        <w:tc>
          <w:tcPr>
            <w:tcW w:w="0" w:type="auto"/>
            <w:vAlign w:val="center"/>
          </w:tcPr>
          <w:p w14:paraId="599171FA" w14:textId="77777777" w:rsidR="00E27D2F" w:rsidRPr="00F10592" w:rsidRDefault="00E27D2F" w:rsidP="005B6A8A">
            <w:pPr>
              <w:tabs>
                <w:tab w:val="left" w:pos="567"/>
                <w:tab w:val="left" w:pos="1134"/>
              </w:tabs>
              <w:spacing w:after="0"/>
              <w:jc w:val="center"/>
              <w:rPr>
                <w:rFonts w:cs="Arial"/>
              </w:rPr>
            </w:pPr>
          </w:p>
        </w:tc>
        <w:tc>
          <w:tcPr>
            <w:tcW w:w="983" w:type="dxa"/>
            <w:vAlign w:val="center"/>
          </w:tcPr>
          <w:p w14:paraId="3BCE7689" w14:textId="77777777" w:rsidR="00E27D2F" w:rsidRPr="00F10592" w:rsidRDefault="00E27D2F" w:rsidP="005B6A8A">
            <w:pPr>
              <w:tabs>
                <w:tab w:val="left" w:pos="567"/>
                <w:tab w:val="left" w:pos="1134"/>
              </w:tabs>
              <w:spacing w:after="0"/>
              <w:jc w:val="center"/>
              <w:rPr>
                <w:rFonts w:cs="Arial"/>
                <w:b/>
              </w:rPr>
            </w:pPr>
          </w:p>
        </w:tc>
      </w:tr>
      <w:tr w:rsidR="00E27D2F" w:rsidRPr="00666242" w14:paraId="2A0B3E78" w14:textId="77777777" w:rsidTr="00957B05">
        <w:trPr>
          <w:trHeight w:val="684"/>
          <w:jc w:val="center"/>
        </w:trPr>
        <w:tc>
          <w:tcPr>
            <w:tcW w:w="0" w:type="auto"/>
            <w:vAlign w:val="center"/>
          </w:tcPr>
          <w:p w14:paraId="06996DE4" w14:textId="4EBA5F58" w:rsidR="00E27D2F" w:rsidRPr="00F10592" w:rsidRDefault="00E27D2F" w:rsidP="00F10592">
            <w:pPr>
              <w:tabs>
                <w:tab w:val="left" w:pos="567"/>
                <w:tab w:val="left" w:pos="1134"/>
              </w:tabs>
              <w:spacing w:after="0"/>
              <w:jc w:val="left"/>
              <w:rPr>
                <w:rFonts w:cs="Arial"/>
              </w:rPr>
            </w:pPr>
            <w:r w:rsidRPr="00F10592">
              <w:rPr>
                <w:rFonts w:cs="Arial"/>
              </w:rPr>
              <w:t xml:space="preserve">Revised </w:t>
            </w:r>
            <w:r w:rsidR="00F10592">
              <w:rPr>
                <w:rFonts w:cs="Arial"/>
              </w:rPr>
              <w:t>p</w:t>
            </w:r>
            <w:r w:rsidRPr="00F10592">
              <w:rPr>
                <w:rFonts w:cs="Arial"/>
              </w:rPr>
              <w:t xml:space="preserve">rice </w:t>
            </w:r>
            <w:r w:rsidR="00F10592">
              <w:rPr>
                <w:rFonts w:cs="Arial"/>
              </w:rPr>
              <w:t>inflation r</w:t>
            </w:r>
            <w:r w:rsidRPr="00F10592">
              <w:rPr>
                <w:rFonts w:cs="Arial"/>
              </w:rPr>
              <w:t>equirements</w:t>
            </w:r>
          </w:p>
        </w:tc>
        <w:tc>
          <w:tcPr>
            <w:tcW w:w="0" w:type="auto"/>
            <w:vAlign w:val="center"/>
          </w:tcPr>
          <w:p w14:paraId="376D1839" w14:textId="1982FD7A" w:rsidR="00E27D2F" w:rsidRPr="00F10592" w:rsidRDefault="00E27D2F" w:rsidP="005B6A8A">
            <w:pPr>
              <w:tabs>
                <w:tab w:val="left" w:pos="567"/>
                <w:tab w:val="left" w:pos="1134"/>
              </w:tabs>
              <w:spacing w:after="0"/>
              <w:jc w:val="center"/>
              <w:rPr>
                <w:rFonts w:cs="Arial"/>
              </w:rPr>
            </w:pPr>
            <w:r w:rsidRPr="00F10592">
              <w:rPr>
                <w:rFonts w:cs="Arial"/>
              </w:rPr>
              <w:t>2</w:t>
            </w:r>
            <w:r w:rsidR="00F10592">
              <w:rPr>
                <w:rFonts w:cs="Arial"/>
              </w:rPr>
              <w:t>0.037</w:t>
            </w:r>
          </w:p>
        </w:tc>
        <w:tc>
          <w:tcPr>
            <w:tcW w:w="0" w:type="auto"/>
            <w:vAlign w:val="center"/>
          </w:tcPr>
          <w:p w14:paraId="6F471D11" w14:textId="14FEE651" w:rsidR="00E27D2F" w:rsidRPr="00F10592" w:rsidRDefault="00F10592" w:rsidP="005B6A8A">
            <w:pPr>
              <w:tabs>
                <w:tab w:val="left" w:pos="567"/>
                <w:tab w:val="left" w:pos="1134"/>
              </w:tabs>
              <w:spacing w:after="0"/>
              <w:jc w:val="center"/>
              <w:rPr>
                <w:rFonts w:cs="Arial"/>
              </w:rPr>
            </w:pPr>
            <w:r>
              <w:rPr>
                <w:rFonts w:cs="Arial"/>
              </w:rPr>
              <w:t>13.652</w:t>
            </w:r>
          </w:p>
        </w:tc>
        <w:tc>
          <w:tcPr>
            <w:tcW w:w="0" w:type="auto"/>
            <w:vAlign w:val="center"/>
          </w:tcPr>
          <w:p w14:paraId="163317A1" w14:textId="69F237B1" w:rsidR="00E27D2F" w:rsidRPr="00F10592" w:rsidRDefault="00F10592" w:rsidP="005B6A8A">
            <w:pPr>
              <w:tabs>
                <w:tab w:val="left" w:pos="567"/>
                <w:tab w:val="left" w:pos="1134"/>
              </w:tabs>
              <w:spacing w:after="0"/>
              <w:jc w:val="center"/>
              <w:rPr>
                <w:rFonts w:cs="Arial"/>
              </w:rPr>
            </w:pPr>
            <w:r>
              <w:rPr>
                <w:rFonts w:cs="Arial"/>
              </w:rPr>
              <w:t>15.855</w:t>
            </w:r>
          </w:p>
        </w:tc>
        <w:tc>
          <w:tcPr>
            <w:tcW w:w="0" w:type="auto"/>
            <w:vAlign w:val="center"/>
          </w:tcPr>
          <w:p w14:paraId="411E381B" w14:textId="7F240014" w:rsidR="00E27D2F" w:rsidRPr="00F10592" w:rsidRDefault="00E27D2F" w:rsidP="005B6A8A">
            <w:pPr>
              <w:tabs>
                <w:tab w:val="left" w:pos="567"/>
                <w:tab w:val="left" w:pos="1134"/>
              </w:tabs>
              <w:spacing w:after="0"/>
              <w:jc w:val="center"/>
              <w:rPr>
                <w:rFonts w:cs="Arial"/>
              </w:rPr>
            </w:pPr>
            <w:r w:rsidRPr="00F10592">
              <w:rPr>
                <w:rFonts w:cs="Arial"/>
              </w:rPr>
              <w:t>18.481</w:t>
            </w:r>
          </w:p>
        </w:tc>
        <w:tc>
          <w:tcPr>
            <w:tcW w:w="983" w:type="dxa"/>
            <w:vAlign w:val="center"/>
          </w:tcPr>
          <w:p w14:paraId="3F5B3BA0" w14:textId="59434F66" w:rsidR="00E27D2F" w:rsidRPr="00F10592" w:rsidRDefault="00F10592" w:rsidP="005B6A8A">
            <w:pPr>
              <w:tabs>
                <w:tab w:val="left" w:pos="567"/>
                <w:tab w:val="left" w:pos="1134"/>
              </w:tabs>
              <w:spacing w:after="0"/>
              <w:jc w:val="center"/>
              <w:rPr>
                <w:rFonts w:cs="Arial"/>
                <w:b/>
              </w:rPr>
            </w:pPr>
            <w:r>
              <w:rPr>
                <w:rFonts w:cs="Arial"/>
                <w:b/>
              </w:rPr>
              <w:t>68.025</w:t>
            </w:r>
          </w:p>
        </w:tc>
      </w:tr>
      <w:tr w:rsidR="00E27D2F" w:rsidRPr="00666242" w14:paraId="3DBBB60D" w14:textId="77777777" w:rsidTr="00957B05">
        <w:trPr>
          <w:trHeight w:val="431"/>
          <w:jc w:val="center"/>
        </w:trPr>
        <w:tc>
          <w:tcPr>
            <w:tcW w:w="0" w:type="auto"/>
            <w:vAlign w:val="center"/>
          </w:tcPr>
          <w:p w14:paraId="30EE4A0B" w14:textId="77777777" w:rsidR="00E27D2F" w:rsidRPr="00F10592" w:rsidRDefault="00E27D2F" w:rsidP="005B6A8A">
            <w:pPr>
              <w:tabs>
                <w:tab w:val="left" w:pos="567"/>
                <w:tab w:val="left" w:pos="1134"/>
              </w:tabs>
              <w:spacing w:after="0"/>
              <w:jc w:val="left"/>
              <w:rPr>
                <w:rFonts w:cs="Arial"/>
              </w:rPr>
            </w:pPr>
          </w:p>
        </w:tc>
        <w:tc>
          <w:tcPr>
            <w:tcW w:w="0" w:type="auto"/>
            <w:vAlign w:val="center"/>
          </w:tcPr>
          <w:p w14:paraId="409B5EB0" w14:textId="77777777" w:rsidR="00E27D2F" w:rsidRPr="00F10592" w:rsidRDefault="00E27D2F" w:rsidP="005B6A8A">
            <w:pPr>
              <w:tabs>
                <w:tab w:val="left" w:pos="567"/>
                <w:tab w:val="left" w:pos="1134"/>
              </w:tabs>
              <w:spacing w:after="0"/>
              <w:jc w:val="center"/>
              <w:rPr>
                <w:rFonts w:cs="Arial"/>
              </w:rPr>
            </w:pPr>
          </w:p>
        </w:tc>
        <w:tc>
          <w:tcPr>
            <w:tcW w:w="0" w:type="auto"/>
            <w:vAlign w:val="center"/>
          </w:tcPr>
          <w:p w14:paraId="238C65D9" w14:textId="77777777" w:rsidR="00E27D2F" w:rsidRPr="00F10592" w:rsidRDefault="00E27D2F" w:rsidP="005B6A8A">
            <w:pPr>
              <w:tabs>
                <w:tab w:val="left" w:pos="567"/>
                <w:tab w:val="left" w:pos="1134"/>
              </w:tabs>
              <w:spacing w:after="0"/>
              <w:jc w:val="center"/>
              <w:rPr>
                <w:rFonts w:cs="Arial"/>
              </w:rPr>
            </w:pPr>
          </w:p>
        </w:tc>
        <w:tc>
          <w:tcPr>
            <w:tcW w:w="0" w:type="auto"/>
            <w:vAlign w:val="center"/>
          </w:tcPr>
          <w:p w14:paraId="5C2BFC7D" w14:textId="77777777" w:rsidR="00E27D2F" w:rsidRPr="00F10592" w:rsidRDefault="00E27D2F" w:rsidP="005B6A8A">
            <w:pPr>
              <w:tabs>
                <w:tab w:val="left" w:pos="567"/>
                <w:tab w:val="left" w:pos="1134"/>
              </w:tabs>
              <w:spacing w:after="0"/>
              <w:jc w:val="center"/>
              <w:rPr>
                <w:rFonts w:cs="Arial"/>
              </w:rPr>
            </w:pPr>
          </w:p>
        </w:tc>
        <w:tc>
          <w:tcPr>
            <w:tcW w:w="0" w:type="auto"/>
            <w:vAlign w:val="center"/>
          </w:tcPr>
          <w:p w14:paraId="1E822C44" w14:textId="77777777" w:rsidR="00E27D2F" w:rsidRPr="00F10592" w:rsidRDefault="00E27D2F" w:rsidP="005B6A8A">
            <w:pPr>
              <w:tabs>
                <w:tab w:val="left" w:pos="567"/>
                <w:tab w:val="left" w:pos="1134"/>
              </w:tabs>
              <w:spacing w:after="0"/>
              <w:jc w:val="center"/>
              <w:rPr>
                <w:rFonts w:cs="Arial"/>
              </w:rPr>
            </w:pPr>
          </w:p>
        </w:tc>
        <w:tc>
          <w:tcPr>
            <w:tcW w:w="983" w:type="dxa"/>
            <w:vAlign w:val="center"/>
          </w:tcPr>
          <w:p w14:paraId="02E8F2EA" w14:textId="77777777" w:rsidR="00E27D2F" w:rsidRPr="00F10592" w:rsidRDefault="00E27D2F" w:rsidP="005B6A8A">
            <w:pPr>
              <w:tabs>
                <w:tab w:val="left" w:pos="567"/>
                <w:tab w:val="left" w:pos="1134"/>
              </w:tabs>
              <w:spacing w:after="0"/>
              <w:jc w:val="center"/>
              <w:rPr>
                <w:rFonts w:cs="Arial"/>
                <w:b/>
              </w:rPr>
            </w:pPr>
          </w:p>
        </w:tc>
      </w:tr>
      <w:tr w:rsidR="00E27D2F" w:rsidRPr="00F10592" w14:paraId="36C50EBF" w14:textId="77777777" w:rsidTr="00957B05">
        <w:trPr>
          <w:trHeight w:val="684"/>
          <w:jc w:val="center"/>
        </w:trPr>
        <w:tc>
          <w:tcPr>
            <w:tcW w:w="0" w:type="auto"/>
            <w:vAlign w:val="center"/>
          </w:tcPr>
          <w:p w14:paraId="30C702E3" w14:textId="527A9C86" w:rsidR="00E27D2F" w:rsidRPr="00F10592" w:rsidRDefault="00E27D2F" w:rsidP="005B6A8A">
            <w:pPr>
              <w:tabs>
                <w:tab w:val="left" w:pos="567"/>
                <w:tab w:val="left" w:pos="1134"/>
              </w:tabs>
              <w:spacing w:after="0"/>
              <w:jc w:val="left"/>
              <w:rPr>
                <w:rFonts w:cs="Arial"/>
                <w:b/>
              </w:rPr>
            </w:pPr>
            <w:r w:rsidRPr="00F10592">
              <w:rPr>
                <w:rFonts w:cs="Arial"/>
                <w:b/>
              </w:rPr>
              <w:t>Impact on Financial Gap</w:t>
            </w:r>
          </w:p>
        </w:tc>
        <w:tc>
          <w:tcPr>
            <w:tcW w:w="0" w:type="auto"/>
            <w:vAlign w:val="center"/>
          </w:tcPr>
          <w:p w14:paraId="5DC68EDD" w14:textId="5C037EC4" w:rsidR="00E27D2F" w:rsidRPr="00F10592" w:rsidRDefault="00F10592" w:rsidP="005B6A8A">
            <w:pPr>
              <w:tabs>
                <w:tab w:val="left" w:pos="567"/>
                <w:tab w:val="left" w:pos="1134"/>
              </w:tabs>
              <w:spacing w:after="0"/>
              <w:jc w:val="center"/>
              <w:rPr>
                <w:rFonts w:cs="Arial"/>
                <w:b/>
              </w:rPr>
            </w:pPr>
            <w:r w:rsidRPr="00F10592">
              <w:rPr>
                <w:rFonts w:cs="Arial"/>
                <w:b/>
              </w:rPr>
              <w:t>3.339</w:t>
            </w:r>
          </w:p>
        </w:tc>
        <w:tc>
          <w:tcPr>
            <w:tcW w:w="0" w:type="auto"/>
            <w:vAlign w:val="center"/>
          </w:tcPr>
          <w:p w14:paraId="25638A4E" w14:textId="4FF5EF26" w:rsidR="00E27D2F" w:rsidRPr="00F10592" w:rsidRDefault="00F10592" w:rsidP="005B6A8A">
            <w:pPr>
              <w:tabs>
                <w:tab w:val="left" w:pos="567"/>
                <w:tab w:val="left" w:pos="1134"/>
              </w:tabs>
              <w:spacing w:after="0"/>
              <w:jc w:val="center"/>
              <w:rPr>
                <w:rFonts w:cs="Arial"/>
                <w:b/>
              </w:rPr>
            </w:pPr>
            <w:r w:rsidRPr="00F10592">
              <w:rPr>
                <w:rFonts w:cs="Arial"/>
                <w:b/>
              </w:rPr>
              <w:t>-3.242</w:t>
            </w:r>
          </w:p>
        </w:tc>
        <w:tc>
          <w:tcPr>
            <w:tcW w:w="0" w:type="auto"/>
            <w:vAlign w:val="center"/>
          </w:tcPr>
          <w:p w14:paraId="76BD99E4" w14:textId="28E456EE" w:rsidR="00E27D2F" w:rsidRPr="00F10592" w:rsidRDefault="00F10592" w:rsidP="005B6A8A">
            <w:pPr>
              <w:tabs>
                <w:tab w:val="left" w:pos="567"/>
                <w:tab w:val="left" w:pos="1134"/>
              </w:tabs>
              <w:spacing w:after="0"/>
              <w:jc w:val="center"/>
              <w:rPr>
                <w:rFonts w:cs="Arial"/>
                <w:b/>
              </w:rPr>
            </w:pPr>
            <w:r w:rsidRPr="00F10592">
              <w:rPr>
                <w:rFonts w:cs="Arial"/>
                <w:b/>
              </w:rPr>
              <w:t>-1.958</w:t>
            </w:r>
          </w:p>
        </w:tc>
        <w:tc>
          <w:tcPr>
            <w:tcW w:w="0" w:type="auto"/>
            <w:vAlign w:val="center"/>
          </w:tcPr>
          <w:p w14:paraId="62C5AB93" w14:textId="1476A86E" w:rsidR="00E27D2F" w:rsidRPr="00F10592" w:rsidRDefault="00E27D2F" w:rsidP="005B6A8A">
            <w:pPr>
              <w:tabs>
                <w:tab w:val="left" w:pos="567"/>
                <w:tab w:val="left" w:pos="1134"/>
              </w:tabs>
              <w:spacing w:after="0"/>
              <w:jc w:val="center"/>
              <w:rPr>
                <w:rFonts w:cs="Arial"/>
                <w:b/>
              </w:rPr>
            </w:pPr>
            <w:r w:rsidRPr="00F10592">
              <w:rPr>
                <w:rFonts w:cs="Arial"/>
                <w:b/>
              </w:rPr>
              <w:t>-1.250</w:t>
            </w:r>
          </w:p>
        </w:tc>
        <w:tc>
          <w:tcPr>
            <w:tcW w:w="983" w:type="dxa"/>
            <w:vAlign w:val="center"/>
          </w:tcPr>
          <w:p w14:paraId="54540808" w14:textId="02C912B1" w:rsidR="00E27D2F" w:rsidRPr="00F10592" w:rsidRDefault="00F10592" w:rsidP="00E27D2F">
            <w:pPr>
              <w:tabs>
                <w:tab w:val="left" w:pos="567"/>
                <w:tab w:val="left" w:pos="1134"/>
              </w:tabs>
              <w:spacing w:after="0"/>
              <w:jc w:val="center"/>
              <w:rPr>
                <w:rFonts w:cs="Arial"/>
                <w:b/>
              </w:rPr>
            </w:pPr>
            <w:r w:rsidRPr="00F10592">
              <w:rPr>
                <w:rFonts w:cs="Arial"/>
                <w:b/>
              </w:rPr>
              <w:t>3.111</w:t>
            </w:r>
          </w:p>
        </w:tc>
      </w:tr>
    </w:tbl>
    <w:p w14:paraId="0C68572A" w14:textId="77777777" w:rsidR="002A09EE" w:rsidRPr="00E27D2F" w:rsidRDefault="002A09EE" w:rsidP="002A09EE">
      <w:pPr>
        <w:spacing w:after="0"/>
        <w:rPr>
          <w:rFonts w:cs="Arial"/>
        </w:rPr>
      </w:pPr>
    </w:p>
    <w:p w14:paraId="19E4AA5F" w14:textId="77777777" w:rsidR="002A09EE" w:rsidRPr="00E27D2F" w:rsidRDefault="002A09EE" w:rsidP="002A09EE">
      <w:pPr>
        <w:spacing w:after="0"/>
        <w:rPr>
          <w:rFonts w:cs="Arial"/>
        </w:rPr>
      </w:pPr>
      <w:r w:rsidRPr="00E27D2F">
        <w:rPr>
          <w:rFonts w:cs="Arial"/>
        </w:rPr>
        <w:t>Some of the key areas of price pressure are:</w:t>
      </w:r>
    </w:p>
    <w:p w14:paraId="7468B641" w14:textId="77777777" w:rsidR="002A09EE" w:rsidRPr="00E27D2F" w:rsidRDefault="002A09EE" w:rsidP="002A09EE">
      <w:pPr>
        <w:spacing w:after="0"/>
        <w:rPr>
          <w:rFonts w:cs="Arial"/>
        </w:rPr>
      </w:pPr>
    </w:p>
    <w:p w14:paraId="2C8618D9" w14:textId="5D019D1B" w:rsidR="008E0918" w:rsidRPr="00E27D2F" w:rsidRDefault="00E27D2F" w:rsidP="00C029F0">
      <w:pPr>
        <w:pStyle w:val="ListParagraph"/>
        <w:numPr>
          <w:ilvl w:val="0"/>
          <w:numId w:val="31"/>
        </w:numPr>
        <w:spacing w:after="0"/>
        <w:rPr>
          <w:rFonts w:cs="Arial"/>
        </w:rPr>
      </w:pPr>
      <w:r w:rsidRPr="00E27D2F">
        <w:rPr>
          <w:rFonts w:cs="Arial"/>
        </w:rPr>
        <w:t>An estimated £</w:t>
      </w:r>
      <w:r w:rsidR="00AC67F1">
        <w:rPr>
          <w:rFonts w:cs="Arial"/>
        </w:rPr>
        <w:t>48</w:t>
      </w:r>
      <w:r w:rsidR="002A09EE" w:rsidRPr="00E27D2F">
        <w:rPr>
          <w:rFonts w:cs="Arial"/>
        </w:rPr>
        <w:t xml:space="preserve">m over the </w:t>
      </w:r>
      <w:r w:rsidRPr="00E27D2F">
        <w:rPr>
          <w:rFonts w:cs="Arial"/>
        </w:rPr>
        <w:t xml:space="preserve">MTFS </w:t>
      </w:r>
      <w:r w:rsidR="002A09EE" w:rsidRPr="00E27D2F">
        <w:rPr>
          <w:rFonts w:cs="Arial"/>
        </w:rPr>
        <w:t>period</w:t>
      </w:r>
      <w:r w:rsidRPr="00E27D2F">
        <w:rPr>
          <w:rFonts w:cs="Arial"/>
        </w:rPr>
        <w:t xml:space="preserve"> </w:t>
      </w:r>
      <w:r w:rsidR="002A09EE" w:rsidRPr="00E27D2F">
        <w:rPr>
          <w:rFonts w:cs="Arial"/>
        </w:rPr>
        <w:t xml:space="preserve">for payments to external providers of social care attract annual inflation in order for the fees paid by the County Council to keep up with increases in the price of resources for suppliers. The </w:t>
      </w:r>
      <w:r w:rsidR="002A09EE" w:rsidRPr="00E27D2F">
        <w:rPr>
          <w:rFonts w:cs="Arial"/>
        </w:rPr>
        <w:lastRenderedPageBreak/>
        <w:t>County Council has a legal responsibility to demonstrate the suppliers are able to deliver services with the fees paid to them. The inflation assumptions used for exte</w:t>
      </w:r>
      <w:r>
        <w:rPr>
          <w:rFonts w:cs="Arial"/>
        </w:rPr>
        <w:t xml:space="preserve">rnally provided social care </w:t>
      </w:r>
      <w:r w:rsidR="002A09EE" w:rsidRPr="00E27D2F">
        <w:rPr>
          <w:rFonts w:cs="Arial"/>
        </w:rPr>
        <w:t>are based on the application of relevant infl</w:t>
      </w:r>
      <w:r w:rsidRPr="00E27D2F">
        <w:rPr>
          <w:rFonts w:cs="Arial"/>
        </w:rPr>
        <w:t xml:space="preserve">ation rates to a costing model. </w:t>
      </w:r>
      <w:r w:rsidR="00AC67F1">
        <w:rPr>
          <w:rFonts w:cs="Arial"/>
        </w:rPr>
        <w:t xml:space="preserve">This figure also incorporates recent fee increases </w:t>
      </w:r>
      <w:r w:rsidR="004E47A9">
        <w:rPr>
          <w:rFonts w:cs="Arial"/>
        </w:rPr>
        <w:t xml:space="preserve">of £5.2m </w:t>
      </w:r>
      <w:r w:rsidR="00AC67F1">
        <w:rPr>
          <w:rFonts w:cs="Arial"/>
        </w:rPr>
        <w:t>that were agreed by the Cabinet Member</w:t>
      </w:r>
      <w:r w:rsidR="00E6630C">
        <w:rPr>
          <w:rFonts w:cs="Arial"/>
        </w:rPr>
        <w:t xml:space="preserve"> </w:t>
      </w:r>
      <w:r w:rsidR="00270A7A">
        <w:rPr>
          <w:rFonts w:cs="Arial"/>
        </w:rPr>
        <w:t>which</w:t>
      </w:r>
      <w:r w:rsidR="00E6630C">
        <w:rPr>
          <w:rFonts w:cs="Arial"/>
        </w:rPr>
        <w:t xml:space="preserve"> is the main reason behind the additional requirement in 2017/18. </w:t>
      </w:r>
    </w:p>
    <w:p w14:paraId="0EFC0B2F" w14:textId="77777777" w:rsidR="008E0918" w:rsidRPr="00666242" w:rsidRDefault="008E0918" w:rsidP="002A09EE">
      <w:pPr>
        <w:spacing w:after="0"/>
        <w:rPr>
          <w:rFonts w:cs="Arial"/>
          <w:sz w:val="22"/>
          <w:szCs w:val="22"/>
          <w:highlight w:val="yellow"/>
        </w:rPr>
      </w:pPr>
    </w:p>
    <w:p w14:paraId="39397F41" w14:textId="2BA6F738" w:rsidR="002A09EE" w:rsidRPr="00AC67F1" w:rsidRDefault="004E47A9" w:rsidP="00C029F0">
      <w:pPr>
        <w:pStyle w:val="ListParagraph"/>
        <w:numPr>
          <w:ilvl w:val="0"/>
          <w:numId w:val="29"/>
        </w:numPr>
        <w:spacing w:after="0"/>
        <w:rPr>
          <w:rFonts w:cs="Arial"/>
        </w:rPr>
      </w:pPr>
      <w:r>
        <w:rPr>
          <w:rFonts w:cs="Arial"/>
        </w:rPr>
        <w:t>The overall additional budget requirement f</w:t>
      </w:r>
      <w:r w:rsidR="002A09EE" w:rsidRPr="00AC67F1">
        <w:rPr>
          <w:rFonts w:cs="Arial"/>
        </w:rPr>
        <w:t>or the provision of waste disposal</w:t>
      </w:r>
      <w:r w:rsidR="00F7670E" w:rsidRPr="00AC67F1">
        <w:rPr>
          <w:rFonts w:cs="Arial"/>
        </w:rPr>
        <w:t xml:space="preserve"> over the period of the MTFS</w:t>
      </w:r>
      <w:r>
        <w:rPr>
          <w:rFonts w:cs="Arial"/>
        </w:rPr>
        <w:t xml:space="preserve"> is £7.262m</w:t>
      </w:r>
      <w:r w:rsidR="00F7670E" w:rsidRPr="00AC67F1">
        <w:rPr>
          <w:rFonts w:cs="Arial"/>
        </w:rPr>
        <w:t>.</w:t>
      </w:r>
      <w:r w:rsidR="002A09EE" w:rsidRPr="00AC67F1">
        <w:rPr>
          <w:rFonts w:cs="Arial"/>
        </w:rPr>
        <w:t xml:space="preserve"> </w:t>
      </w:r>
      <w:r>
        <w:rPr>
          <w:rFonts w:cs="Arial"/>
        </w:rPr>
        <w:t>The requirement within the previous MTFS was £11.005m with the revised position incorporating</w:t>
      </w:r>
      <w:r w:rsidR="00E6630C">
        <w:rPr>
          <w:rFonts w:cs="Arial"/>
        </w:rPr>
        <w:t xml:space="preserve"> assumptions surrounding waste transport in relation to a new contract from 2018/19 onwards. </w:t>
      </w:r>
    </w:p>
    <w:p w14:paraId="6DD3AF49" w14:textId="77777777" w:rsidR="009A71EE" w:rsidRPr="00666242" w:rsidRDefault="009A71EE" w:rsidP="009A71EE">
      <w:pPr>
        <w:spacing w:after="0"/>
        <w:rPr>
          <w:rFonts w:cs="Arial"/>
          <w:highlight w:val="yellow"/>
        </w:rPr>
      </w:pPr>
    </w:p>
    <w:p w14:paraId="6CF87914" w14:textId="2610A4A9" w:rsidR="002A09EE" w:rsidRPr="00AC67F1" w:rsidRDefault="00E56CB8" w:rsidP="00C029F0">
      <w:pPr>
        <w:pStyle w:val="ListParagraph"/>
        <w:numPr>
          <w:ilvl w:val="0"/>
          <w:numId w:val="29"/>
        </w:numPr>
        <w:autoSpaceDE/>
        <w:autoSpaceDN/>
        <w:adjustRightInd/>
        <w:spacing w:after="0"/>
        <w:rPr>
          <w:rFonts w:cs="Arial"/>
        </w:rPr>
      </w:pPr>
      <w:r>
        <w:rPr>
          <w:rFonts w:cs="Arial"/>
        </w:rPr>
        <w:t xml:space="preserve">The overall additional budget requirement for </w:t>
      </w:r>
      <w:r w:rsidR="002A09EE" w:rsidRPr="00AC67F1">
        <w:rPr>
          <w:rFonts w:cs="Arial"/>
        </w:rPr>
        <w:t>children's social care including agency payments, residence orders, foster and other allowances and payments to health</w:t>
      </w:r>
      <w:r>
        <w:rPr>
          <w:rFonts w:cs="Arial"/>
        </w:rPr>
        <w:t xml:space="preserve"> is £6.086m</w:t>
      </w:r>
      <w:r w:rsidR="002A09EE" w:rsidRPr="00AC67F1">
        <w:rPr>
          <w:rFonts w:cs="Arial"/>
        </w:rPr>
        <w:t xml:space="preserve">. </w:t>
      </w:r>
      <w:r>
        <w:rPr>
          <w:rFonts w:cs="Arial"/>
        </w:rPr>
        <w:t xml:space="preserve">In the previous MTFS the requirement was £4.621m. The increased inflationary pressure is linked to the increased demand that will have an inflationary pressure applied to it. </w:t>
      </w:r>
    </w:p>
    <w:p w14:paraId="07889475" w14:textId="77777777" w:rsidR="00F53647" w:rsidRPr="00666242" w:rsidRDefault="00F53647" w:rsidP="00F53647">
      <w:pPr>
        <w:autoSpaceDE/>
        <w:autoSpaceDN/>
        <w:adjustRightInd/>
        <w:spacing w:after="0"/>
        <w:jc w:val="left"/>
        <w:rPr>
          <w:rFonts w:cs="Arial"/>
          <w:b/>
          <w:highlight w:val="yellow"/>
        </w:rPr>
      </w:pPr>
    </w:p>
    <w:p w14:paraId="1DB3F9C3" w14:textId="00F9EC4D" w:rsidR="00F53647" w:rsidRPr="00AC67F1" w:rsidRDefault="005A1497" w:rsidP="00F53647">
      <w:pPr>
        <w:tabs>
          <w:tab w:val="left" w:pos="567"/>
          <w:tab w:val="left" w:pos="1134"/>
        </w:tabs>
        <w:spacing w:after="0"/>
        <w:rPr>
          <w:rFonts w:cs="Arial"/>
          <w:b/>
        </w:rPr>
      </w:pPr>
      <w:r>
        <w:rPr>
          <w:rFonts w:cs="Arial"/>
          <w:b/>
        </w:rPr>
        <w:t>3.3</w:t>
      </w:r>
      <w:r w:rsidR="00F53647" w:rsidRPr="00AC67F1">
        <w:rPr>
          <w:rFonts w:cs="Arial"/>
          <w:b/>
        </w:rPr>
        <w:tab/>
        <w:t>Demand Pressures</w:t>
      </w:r>
    </w:p>
    <w:p w14:paraId="1C817C98" w14:textId="77777777" w:rsidR="00F53647" w:rsidRPr="00AC67F1" w:rsidRDefault="00F53647" w:rsidP="00F53647">
      <w:pPr>
        <w:tabs>
          <w:tab w:val="left" w:pos="567"/>
          <w:tab w:val="left" w:pos="1134"/>
        </w:tabs>
        <w:spacing w:after="0"/>
        <w:rPr>
          <w:rFonts w:cs="Arial"/>
          <w:b/>
        </w:rPr>
      </w:pPr>
    </w:p>
    <w:p w14:paraId="2E958306" w14:textId="77777777" w:rsidR="00F53647" w:rsidRPr="00AC67F1" w:rsidRDefault="00F53647" w:rsidP="00F53647">
      <w:pPr>
        <w:tabs>
          <w:tab w:val="left" w:pos="567"/>
          <w:tab w:val="left" w:pos="1134"/>
        </w:tabs>
        <w:spacing w:after="0"/>
        <w:rPr>
          <w:rFonts w:cs="Arial"/>
        </w:rPr>
      </w:pPr>
      <w:r w:rsidRPr="00AC67F1">
        <w:rPr>
          <w:rFonts w:cs="Arial"/>
        </w:rPr>
        <w:t>All services have reviewed the demand pressures faced b</w:t>
      </w:r>
      <w:r w:rsidR="00935FA0" w:rsidRPr="00AC67F1">
        <w:rPr>
          <w:rFonts w:cs="Arial"/>
        </w:rPr>
        <w:t xml:space="preserve">y the </w:t>
      </w:r>
      <w:r w:rsidR="000A4469" w:rsidRPr="00AC67F1">
        <w:rPr>
          <w:rFonts w:cs="Arial"/>
        </w:rPr>
        <w:t xml:space="preserve">County </w:t>
      </w:r>
      <w:r w:rsidR="00935FA0" w:rsidRPr="00AC67F1">
        <w:rPr>
          <w:rFonts w:cs="Arial"/>
        </w:rPr>
        <w:t>C</w:t>
      </w:r>
      <w:r w:rsidRPr="00AC67F1">
        <w:rPr>
          <w:rFonts w:cs="Arial"/>
        </w:rPr>
        <w:t>ouncil in future years. The impact of this review has been identified and is reflected in the revised MTFS and it can be seen that a significant proportion of the funding gap that has been identified is due to demand pressures.</w:t>
      </w:r>
    </w:p>
    <w:p w14:paraId="38D052AC" w14:textId="77777777" w:rsidR="00F53647" w:rsidRPr="00666242" w:rsidRDefault="00F53647" w:rsidP="00F53647">
      <w:pPr>
        <w:tabs>
          <w:tab w:val="left" w:pos="567"/>
          <w:tab w:val="left" w:pos="1134"/>
        </w:tabs>
        <w:spacing w:after="0"/>
        <w:rPr>
          <w:rFonts w:cs="Arial"/>
          <w:highlight w:val="yellow"/>
        </w:rPr>
      </w:pPr>
    </w:p>
    <w:p w14:paraId="2B0073FE" w14:textId="1262DC42" w:rsidR="00F53647" w:rsidRPr="00F10592" w:rsidRDefault="00F53647" w:rsidP="00F53647">
      <w:pPr>
        <w:tabs>
          <w:tab w:val="left" w:pos="567"/>
          <w:tab w:val="left" w:pos="1134"/>
        </w:tabs>
        <w:spacing w:after="0"/>
        <w:rPr>
          <w:rFonts w:cs="Arial"/>
        </w:rPr>
      </w:pPr>
      <w:r w:rsidRPr="00F10592">
        <w:rPr>
          <w:rFonts w:cs="Arial"/>
        </w:rPr>
        <w:t>In total it is estimated that the demand pressures are</w:t>
      </w:r>
      <w:r w:rsidR="0000699F" w:rsidRPr="00F10592">
        <w:rPr>
          <w:rFonts w:cs="Arial"/>
        </w:rPr>
        <w:t xml:space="preserve"> </w:t>
      </w:r>
      <w:r w:rsidR="00F10592" w:rsidRPr="00F10592">
        <w:rPr>
          <w:rFonts w:cs="Arial"/>
        </w:rPr>
        <w:t>now £8</w:t>
      </w:r>
      <w:r w:rsidR="0059655B">
        <w:rPr>
          <w:rFonts w:cs="Arial"/>
        </w:rPr>
        <w:t>5.141</w:t>
      </w:r>
      <w:r w:rsidRPr="00F10592">
        <w:rPr>
          <w:rFonts w:cs="Arial"/>
        </w:rPr>
        <w:t xml:space="preserve">m. This is </w:t>
      </w:r>
      <w:r w:rsidR="00F10592" w:rsidRPr="00F10592">
        <w:rPr>
          <w:rFonts w:cs="Arial"/>
        </w:rPr>
        <w:t>an increase of £2</w:t>
      </w:r>
      <w:r w:rsidR="0059655B">
        <w:rPr>
          <w:rFonts w:cs="Arial"/>
        </w:rPr>
        <w:t>5.843</w:t>
      </w:r>
      <w:r w:rsidR="00F10592" w:rsidRPr="00F10592">
        <w:rPr>
          <w:rFonts w:cs="Arial"/>
        </w:rPr>
        <w:t xml:space="preserve"> from the previous MTFS over this time period</w:t>
      </w:r>
      <w:r w:rsidRPr="00F10592">
        <w:rPr>
          <w:rFonts w:cs="Arial"/>
        </w:rPr>
        <w:t>.</w:t>
      </w:r>
    </w:p>
    <w:p w14:paraId="0B2A73ED" w14:textId="77777777" w:rsidR="00AC67F1" w:rsidRDefault="00AC67F1" w:rsidP="00F53647">
      <w:pPr>
        <w:tabs>
          <w:tab w:val="left" w:pos="567"/>
          <w:tab w:val="left" w:pos="1134"/>
        </w:tabs>
        <w:spacing w:after="0"/>
        <w:rPr>
          <w:rFonts w:cs="Arial"/>
          <w:highlight w:val="yellow"/>
        </w:rPr>
      </w:pPr>
    </w:p>
    <w:p w14:paraId="76AE107A" w14:textId="77777777" w:rsidR="00AC67F1" w:rsidRDefault="00AC67F1" w:rsidP="00F53647">
      <w:pPr>
        <w:tabs>
          <w:tab w:val="left" w:pos="567"/>
          <w:tab w:val="left" w:pos="1134"/>
        </w:tabs>
        <w:spacing w:after="0"/>
        <w:rPr>
          <w:rFonts w:cs="Arial"/>
          <w:highlight w:val="yellow"/>
        </w:rPr>
      </w:pPr>
    </w:p>
    <w:tbl>
      <w:tblPr>
        <w:tblStyle w:val="TableGrid"/>
        <w:tblW w:w="8197" w:type="dxa"/>
        <w:jc w:val="center"/>
        <w:tblLook w:val="04A0" w:firstRow="1" w:lastRow="0" w:firstColumn="1" w:lastColumn="0" w:noHBand="0" w:noVBand="1"/>
      </w:tblPr>
      <w:tblGrid>
        <w:gridCol w:w="2878"/>
        <w:gridCol w:w="1084"/>
        <w:gridCol w:w="1084"/>
        <w:gridCol w:w="1084"/>
        <w:gridCol w:w="1084"/>
        <w:gridCol w:w="983"/>
      </w:tblGrid>
      <w:tr w:rsidR="00AC67F1" w:rsidRPr="00E27D2F" w14:paraId="1D3B6ACB" w14:textId="77777777" w:rsidTr="00957B05">
        <w:trPr>
          <w:trHeight w:val="684"/>
          <w:jc w:val="center"/>
        </w:trPr>
        <w:tc>
          <w:tcPr>
            <w:tcW w:w="0" w:type="auto"/>
            <w:shd w:val="clear" w:color="auto" w:fill="BFBFBF" w:themeFill="background1" w:themeFillShade="BF"/>
          </w:tcPr>
          <w:p w14:paraId="3BCDD13C" w14:textId="77777777" w:rsidR="00AC67F1" w:rsidRPr="00F10592" w:rsidRDefault="00AC67F1" w:rsidP="00AC67F1">
            <w:pPr>
              <w:tabs>
                <w:tab w:val="left" w:pos="567"/>
                <w:tab w:val="left" w:pos="1134"/>
              </w:tabs>
              <w:spacing w:after="0"/>
              <w:rPr>
                <w:rFonts w:cs="Arial"/>
              </w:rPr>
            </w:pPr>
          </w:p>
        </w:tc>
        <w:tc>
          <w:tcPr>
            <w:tcW w:w="0" w:type="auto"/>
            <w:shd w:val="clear" w:color="auto" w:fill="BFBFBF" w:themeFill="background1" w:themeFillShade="BF"/>
            <w:vAlign w:val="center"/>
          </w:tcPr>
          <w:p w14:paraId="61E0CCCD" w14:textId="77777777" w:rsidR="00AC67F1" w:rsidRPr="00F10592" w:rsidRDefault="00AC67F1" w:rsidP="00AC67F1">
            <w:pPr>
              <w:tabs>
                <w:tab w:val="left" w:pos="567"/>
                <w:tab w:val="left" w:pos="1134"/>
              </w:tabs>
              <w:spacing w:after="0"/>
              <w:jc w:val="center"/>
              <w:rPr>
                <w:rFonts w:cs="Arial"/>
                <w:b/>
              </w:rPr>
            </w:pPr>
            <w:r w:rsidRPr="00F10592">
              <w:rPr>
                <w:rFonts w:cs="Arial"/>
                <w:b/>
              </w:rPr>
              <w:t>2017/18</w:t>
            </w:r>
          </w:p>
          <w:p w14:paraId="081DC4CB" w14:textId="77777777" w:rsidR="00AC67F1" w:rsidRPr="00F10592" w:rsidRDefault="00AC67F1" w:rsidP="00AC67F1">
            <w:pPr>
              <w:tabs>
                <w:tab w:val="left" w:pos="567"/>
                <w:tab w:val="left" w:pos="1134"/>
              </w:tabs>
              <w:spacing w:after="0"/>
              <w:jc w:val="center"/>
              <w:rPr>
                <w:rFonts w:cs="Arial"/>
                <w:b/>
              </w:rPr>
            </w:pPr>
            <w:r w:rsidRPr="00F10592">
              <w:rPr>
                <w:rFonts w:cs="Arial"/>
                <w:b/>
              </w:rPr>
              <w:t>£m</w:t>
            </w:r>
          </w:p>
        </w:tc>
        <w:tc>
          <w:tcPr>
            <w:tcW w:w="0" w:type="auto"/>
            <w:shd w:val="clear" w:color="auto" w:fill="BFBFBF" w:themeFill="background1" w:themeFillShade="BF"/>
            <w:vAlign w:val="center"/>
          </w:tcPr>
          <w:p w14:paraId="79135DEF" w14:textId="77777777" w:rsidR="00AC67F1" w:rsidRPr="00F10592" w:rsidRDefault="00AC67F1" w:rsidP="00AC67F1">
            <w:pPr>
              <w:tabs>
                <w:tab w:val="left" w:pos="567"/>
                <w:tab w:val="left" w:pos="1134"/>
              </w:tabs>
              <w:spacing w:after="0"/>
              <w:jc w:val="center"/>
              <w:rPr>
                <w:rFonts w:cs="Arial"/>
                <w:b/>
              </w:rPr>
            </w:pPr>
            <w:r w:rsidRPr="00F10592">
              <w:rPr>
                <w:rFonts w:cs="Arial"/>
                <w:b/>
              </w:rPr>
              <w:t>2018/19</w:t>
            </w:r>
          </w:p>
          <w:p w14:paraId="770790E2" w14:textId="77777777" w:rsidR="00AC67F1" w:rsidRPr="00F10592" w:rsidRDefault="00AC67F1" w:rsidP="00AC67F1">
            <w:pPr>
              <w:tabs>
                <w:tab w:val="left" w:pos="567"/>
                <w:tab w:val="left" w:pos="1134"/>
              </w:tabs>
              <w:spacing w:after="0"/>
              <w:jc w:val="center"/>
              <w:rPr>
                <w:rFonts w:cs="Arial"/>
                <w:b/>
              </w:rPr>
            </w:pPr>
            <w:r w:rsidRPr="00F10592">
              <w:rPr>
                <w:rFonts w:cs="Arial"/>
                <w:b/>
              </w:rPr>
              <w:t>£m</w:t>
            </w:r>
          </w:p>
        </w:tc>
        <w:tc>
          <w:tcPr>
            <w:tcW w:w="0" w:type="auto"/>
            <w:shd w:val="clear" w:color="auto" w:fill="BFBFBF" w:themeFill="background1" w:themeFillShade="BF"/>
            <w:vAlign w:val="center"/>
          </w:tcPr>
          <w:p w14:paraId="784E2010" w14:textId="77777777" w:rsidR="00AC67F1" w:rsidRPr="00F10592" w:rsidRDefault="00AC67F1" w:rsidP="00AC67F1">
            <w:pPr>
              <w:tabs>
                <w:tab w:val="left" w:pos="567"/>
                <w:tab w:val="left" w:pos="1134"/>
              </w:tabs>
              <w:spacing w:after="0"/>
              <w:jc w:val="center"/>
              <w:rPr>
                <w:rFonts w:cs="Arial"/>
                <w:b/>
              </w:rPr>
            </w:pPr>
            <w:r w:rsidRPr="00F10592">
              <w:rPr>
                <w:rFonts w:cs="Arial"/>
                <w:b/>
              </w:rPr>
              <w:t>2019/20</w:t>
            </w:r>
          </w:p>
          <w:p w14:paraId="683110A7" w14:textId="77777777" w:rsidR="00AC67F1" w:rsidRPr="00F10592" w:rsidRDefault="00AC67F1" w:rsidP="00AC67F1">
            <w:pPr>
              <w:tabs>
                <w:tab w:val="left" w:pos="567"/>
                <w:tab w:val="left" w:pos="1134"/>
              </w:tabs>
              <w:spacing w:after="0"/>
              <w:jc w:val="center"/>
              <w:rPr>
                <w:rFonts w:cs="Arial"/>
                <w:b/>
              </w:rPr>
            </w:pPr>
            <w:r w:rsidRPr="00F10592">
              <w:rPr>
                <w:rFonts w:cs="Arial"/>
                <w:b/>
              </w:rPr>
              <w:t>£m</w:t>
            </w:r>
          </w:p>
        </w:tc>
        <w:tc>
          <w:tcPr>
            <w:tcW w:w="0" w:type="auto"/>
            <w:shd w:val="clear" w:color="auto" w:fill="BFBFBF" w:themeFill="background1" w:themeFillShade="BF"/>
            <w:vAlign w:val="center"/>
          </w:tcPr>
          <w:p w14:paraId="3D58C6D6" w14:textId="77777777" w:rsidR="00AC67F1" w:rsidRPr="00F10592" w:rsidRDefault="00AC67F1" w:rsidP="00AC67F1">
            <w:pPr>
              <w:tabs>
                <w:tab w:val="left" w:pos="567"/>
                <w:tab w:val="left" w:pos="1134"/>
              </w:tabs>
              <w:spacing w:after="0"/>
              <w:jc w:val="center"/>
              <w:rPr>
                <w:rFonts w:cs="Arial"/>
                <w:b/>
              </w:rPr>
            </w:pPr>
            <w:r w:rsidRPr="00F10592">
              <w:rPr>
                <w:rFonts w:cs="Arial"/>
                <w:b/>
              </w:rPr>
              <w:t>2020/21</w:t>
            </w:r>
          </w:p>
          <w:p w14:paraId="11D0D65D" w14:textId="77777777" w:rsidR="00AC67F1" w:rsidRPr="00F10592" w:rsidRDefault="00AC67F1" w:rsidP="00AC67F1">
            <w:pPr>
              <w:tabs>
                <w:tab w:val="left" w:pos="567"/>
                <w:tab w:val="left" w:pos="1134"/>
              </w:tabs>
              <w:spacing w:after="0"/>
              <w:jc w:val="center"/>
              <w:rPr>
                <w:rFonts w:cs="Arial"/>
                <w:b/>
              </w:rPr>
            </w:pPr>
            <w:r w:rsidRPr="00F10592">
              <w:rPr>
                <w:rFonts w:cs="Arial"/>
                <w:b/>
              </w:rPr>
              <w:t>£m</w:t>
            </w:r>
          </w:p>
        </w:tc>
        <w:tc>
          <w:tcPr>
            <w:tcW w:w="983" w:type="dxa"/>
            <w:shd w:val="clear" w:color="auto" w:fill="BFBFBF" w:themeFill="background1" w:themeFillShade="BF"/>
            <w:vAlign w:val="center"/>
          </w:tcPr>
          <w:p w14:paraId="13BC605D" w14:textId="77777777" w:rsidR="00AC67F1" w:rsidRPr="00F10592" w:rsidRDefault="00AC67F1" w:rsidP="00AC67F1">
            <w:pPr>
              <w:tabs>
                <w:tab w:val="left" w:pos="567"/>
                <w:tab w:val="left" w:pos="1134"/>
              </w:tabs>
              <w:spacing w:after="0"/>
              <w:jc w:val="center"/>
              <w:rPr>
                <w:rFonts w:cs="Arial"/>
                <w:b/>
              </w:rPr>
            </w:pPr>
            <w:r w:rsidRPr="00F10592">
              <w:rPr>
                <w:rFonts w:cs="Arial"/>
                <w:b/>
              </w:rPr>
              <w:t>Total</w:t>
            </w:r>
          </w:p>
          <w:p w14:paraId="3CC99A90" w14:textId="77777777" w:rsidR="00AC67F1" w:rsidRPr="00F10592" w:rsidRDefault="00AC67F1" w:rsidP="00AC67F1">
            <w:pPr>
              <w:tabs>
                <w:tab w:val="left" w:pos="567"/>
                <w:tab w:val="left" w:pos="1134"/>
              </w:tabs>
              <w:spacing w:after="0"/>
              <w:jc w:val="center"/>
              <w:rPr>
                <w:rFonts w:cs="Arial"/>
                <w:b/>
              </w:rPr>
            </w:pPr>
            <w:r w:rsidRPr="00F10592">
              <w:rPr>
                <w:rFonts w:cs="Arial"/>
                <w:b/>
              </w:rPr>
              <w:t>£m</w:t>
            </w:r>
          </w:p>
        </w:tc>
      </w:tr>
      <w:tr w:rsidR="00AC67F1" w:rsidRPr="00E27D2F" w14:paraId="07AD04C4" w14:textId="77777777" w:rsidTr="00957B05">
        <w:trPr>
          <w:trHeight w:val="684"/>
          <w:jc w:val="center"/>
        </w:trPr>
        <w:tc>
          <w:tcPr>
            <w:tcW w:w="0" w:type="auto"/>
            <w:vAlign w:val="center"/>
          </w:tcPr>
          <w:p w14:paraId="0B7CB77B" w14:textId="58130D42" w:rsidR="00AC67F1" w:rsidRPr="00F10592" w:rsidRDefault="00AC67F1" w:rsidP="00AC67F1">
            <w:pPr>
              <w:tabs>
                <w:tab w:val="left" w:pos="567"/>
                <w:tab w:val="left" w:pos="1134"/>
              </w:tabs>
              <w:spacing w:after="0"/>
              <w:jc w:val="left"/>
              <w:rPr>
                <w:rFonts w:cs="Arial"/>
              </w:rPr>
            </w:pPr>
            <w:r w:rsidRPr="00F10592">
              <w:rPr>
                <w:rFonts w:cs="Arial"/>
              </w:rPr>
              <w:t>Total Demand</w:t>
            </w:r>
          </w:p>
        </w:tc>
        <w:tc>
          <w:tcPr>
            <w:tcW w:w="0" w:type="auto"/>
            <w:vAlign w:val="center"/>
          </w:tcPr>
          <w:p w14:paraId="4A9792F8" w14:textId="680C84C0" w:rsidR="00AC67F1" w:rsidRPr="00F10592" w:rsidRDefault="00AC67F1" w:rsidP="00AC67F1">
            <w:pPr>
              <w:tabs>
                <w:tab w:val="left" w:pos="567"/>
                <w:tab w:val="left" w:pos="1134"/>
              </w:tabs>
              <w:spacing w:after="0"/>
              <w:jc w:val="center"/>
              <w:rPr>
                <w:rFonts w:cs="Arial"/>
              </w:rPr>
            </w:pPr>
            <w:r w:rsidRPr="00F10592">
              <w:rPr>
                <w:rFonts w:cs="Arial"/>
              </w:rPr>
              <w:t>14.027</w:t>
            </w:r>
          </w:p>
        </w:tc>
        <w:tc>
          <w:tcPr>
            <w:tcW w:w="0" w:type="auto"/>
            <w:vAlign w:val="center"/>
          </w:tcPr>
          <w:p w14:paraId="33EE1128" w14:textId="434D996F" w:rsidR="00AC67F1" w:rsidRPr="00F10592" w:rsidRDefault="00AC67F1" w:rsidP="00AC67F1">
            <w:pPr>
              <w:tabs>
                <w:tab w:val="left" w:pos="567"/>
                <w:tab w:val="left" w:pos="1134"/>
              </w:tabs>
              <w:spacing w:after="0"/>
              <w:jc w:val="center"/>
              <w:rPr>
                <w:rFonts w:cs="Arial"/>
              </w:rPr>
            </w:pPr>
            <w:r w:rsidRPr="00F10592">
              <w:rPr>
                <w:rFonts w:cs="Arial"/>
              </w:rPr>
              <w:t>13.512</w:t>
            </w:r>
          </w:p>
        </w:tc>
        <w:tc>
          <w:tcPr>
            <w:tcW w:w="0" w:type="auto"/>
            <w:vAlign w:val="center"/>
          </w:tcPr>
          <w:p w14:paraId="4F14F5EF" w14:textId="13040F71" w:rsidR="00AC67F1" w:rsidRPr="00F10592" w:rsidRDefault="00AC67F1" w:rsidP="00AC67F1">
            <w:pPr>
              <w:tabs>
                <w:tab w:val="left" w:pos="567"/>
                <w:tab w:val="left" w:pos="1134"/>
              </w:tabs>
              <w:spacing w:after="0"/>
              <w:jc w:val="center"/>
              <w:rPr>
                <w:rFonts w:cs="Arial"/>
              </w:rPr>
            </w:pPr>
            <w:r w:rsidRPr="00F10592">
              <w:rPr>
                <w:rFonts w:cs="Arial"/>
              </w:rPr>
              <w:t>14.623</w:t>
            </w:r>
          </w:p>
        </w:tc>
        <w:tc>
          <w:tcPr>
            <w:tcW w:w="0" w:type="auto"/>
            <w:vAlign w:val="center"/>
          </w:tcPr>
          <w:p w14:paraId="722BB9D2" w14:textId="1DD12CE8" w:rsidR="00AC67F1" w:rsidRPr="00F10592" w:rsidRDefault="00AC67F1" w:rsidP="00AC67F1">
            <w:pPr>
              <w:tabs>
                <w:tab w:val="left" w:pos="567"/>
                <w:tab w:val="left" w:pos="1134"/>
              </w:tabs>
              <w:spacing w:after="0"/>
              <w:jc w:val="center"/>
              <w:rPr>
                <w:rFonts w:cs="Arial"/>
              </w:rPr>
            </w:pPr>
            <w:r w:rsidRPr="00F10592">
              <w:rPr>
                <w:rFonts w:cs="Arial"/>
              </w:rPr>
              <w:t>17.136</w:t>
            </w:r>
          </w:p>
        </w:tc>
        <w:tc>
          <w:tcPr>
            <w:tcW w:w="983" w:type="dxa"/>
            <w:vAlign w:val="center"/>
          </w:tcPr>
          <w:p w14:paraId="1284B1FD" w14:textId="4A3785A6" w:rsidR="00AC67F1" w:rsidRPr="00F10592" w:rsidRDefault="0000699F" w:rsidP="00AC67F1">
            <w:pPr>
              <w:tabs>
                <w:tab w:val="left" w:pos="567"/>
                <w:tab w:val="left" w:pos="1134"/>
              </w:tabs>
              <w:spacing w:after="0"/>
              <w:jc w:val="center"/>
              <w:rPr>
                <w:rFonts w:cs="Arial"/>
                <w:b/>
              </w:rPr>
            </w:pPr>
            <w:r w:rsidRPr="00F10592">
              <w:rPr>
                <w:rFonts w:cs="Arial"/>
                <w:b/>
              </w:rPr>
              <w:t>59.298</w:t>
            </w:r>
          </w:p>
        </w:tc>
      </w:tr>
      <w:tr w:rsidR="00AC67F1" w:rsidRPr="00666242" w14:paraId="07C82381" w14:textId="77777777" w:rsidTr="00957B05">
        <w:trPr>
          <w:trHeight w:val="401"/>
          <w:jc w:val="center"/>
        </w:trPr>
        <w:tc>
          <w:tcPr>
            <w:tcW w:w="0" w:type="auto"/>
            <w:vAlign w:val="center"/>
          </w:tcPr>
          <w:p w14:paraId="139C7C1E" w14:textId="77777777" w:rsidR="00AC67F1" w:rsidRPr="00F10592" w:rsidRDefault="00AC67F1" w:rsidP="00AC67F1">
            <w:pPr>
              <w:tabs>
                <w:tab w:val="left" w:pos="567"/>
                <w:tab w:val="left" w:pos="1134"/>
              </w:tabs>
              <w:spacing w:after="0"/>
              <w:jc w:val="left"/>
              <w:rPr>
                <w:rFonts w:cs="Arial"/>
              </w:rPr>
            </w:pPr>
          </w:p>
        </w:tc>
        <w:tc>
          <w:tcPr>
            <w:tcW w:w="0" w:type="auto"/>
            <w:vAlign w:val="center"/>
          </w:tcPr>
          <w:p w14:paraId="7552451D" w14:textId="77777777" w:rsidR="00AC67F1" w:rsidRPr="00F10592" w:rsidRDefault="00AC67F1" w:rsidP="00AC67F1">
            <w:pPr>
              <w:tabs>
                <w:tab w:val="left" w:pos="567"/>
                <w:tab w:val="left" w:pos="1134"/>
              </w:tabs>
              <w:spacing w:after="0"/>
              <w:jc w:val="center"/>
              <w:rPr>
                <w:rFonts w:cs="Arial"/>
              </w:rPr>
            </w:pPr>
          </w:p>
        </w:tc>
        <w:tc>
          <w:tcPr>
            <w:tcW w:w="0" w:type="auto"/>
            <w:vAlign w:val="center"/>
          </w:tcPr>
          <w:p w14:paraId="70326EE8" w14:textId="77777777" w:rsidR="00AC67F1" w:rsidRPr="00F10592" w:rsidRDefault="00AC67F1" w:rsidP="00AC67F1">
            <w:pPr>
              <w:tabs>
                <w:tab w:val="left" w:pos="567"/>
                <w:tab w:val="left" w:pos="1134"/>
              </w:tabs>
              <w:spacing w:after="0"/>
              <w:jc w:val="center"/>
              <w:rPr>
                <w:rFonts w:cs="Arial"/>
              </w:rPr>
            </w:pPr>
          </w:p>
        </w:tc>
        <w:tc>
          <w:tcPr>
            <w:tcW w:w="0" w:type="auto"/>
            <w:vAlign w:val="center"/>
          </w:tcPr>
          <w:p w14:paraId="59D5A068" w14:textId="77777777" w:rsidR="00AC67F1" w:rsidRPr="00F10592" w:rsidRDefault="00AC67F1" w:rsidP="00AC67F1">
            <w:pPr>
              <w:tabs>
                <w:tab w:val="left" w:pos="567"/>
                <w:tab w:val="left" w:pos="1134"/>
              </w:tabs>
              <w:spacing w:after="0"/>
              <w:jc w:val="center"/>
              <w:rPr>
                <w:rFonts w:cs="Arial"/>
              </w:rPr>
            </w:pPr>
          </w:p>
        </w:tc>
        <w:tc>
          <w:tcPr>
            <w:tcW w:w="0" w:type="auto"/>
            <w:vAlign w:val="center"/>
          </w:tcPr>
          <w:p w14:paraId="7377A5CC" w14:textId="77777777" w:rsidR="00AC67F1" w:rsidRPr="00F10592" w:rsidRDefault="00AC67F1" w:rsidP="00AC67F1">
            <w:pPr>
              <w:tabs>
                <w:tab w:val="left" w:pos="567"/>
                <w:tab w:val="left" w:pos="1134"/>
              </w:tabs>
              <w:spacing w:after="0"/>
              <w:jc w:val="center"/>
              <w:rPr>
                <w:rFonts w:cs="Arial"/>
              </w:rPr>
            </w:pPr>
          </w:p>
        </w:tc>
        <w:tc>
          <w:tcPr>
            <w:tcW w:w="983" w:type="dxa"/>
            <w:vAlign w:val="center"/>
          </w:tcPr>
          <w:p w14:paraId="50207227" w14:textId="77777777" w:rsidR="00AC67F1" w:rsidRPr="00F10592" w:rsidRDefault="00AC67F1" w:rsidP="00AC67F1">
            <w:pPr>
              <w:tabs>
                <w:tab w:val="left" w:pos="567"/>
                <w:tab w:val="left" w:pos="1134"/>
              </w:tabs>
              <w:spacing w:after="0"/>
              <w:jc w:val="center"/>
              <w:rPr>
                <w:rFonts w:cs="Arial"/>
                <w:b/>
              </w:rPr>
            </w:pPr>
          </w:p>
        </w:tc>
      </w:tr>
      <w:tr w:rsidR="00AC67F1" w:rsidRPr="00666242" w14:paraId="631EA3E1" w14:textId="77777777" w:rsidTr="00957B05">
        <w:trPr>
          <w:trHeight w:val="684"/>
          <w:jc w:val="center"/>
        </w:trPr>
        <w:tc>
          <w:tcPr>
            <w:tcW w:w="0" w:type="auto"/>
            <w:vAlign w:val="center"/>
          </w:tcPr>
          <w:p w14:paraId="2406BD78" w14:textId="3E4CF31D" w:rsidR="00AC67F1" w:rsidRPr="00F10592" w:rsidRDefault="00AC67F1" w:rsidP="00AC67F1">
            <w:pPr>
              <w:tabs>
                <w:tab w:val="left" w:pos="567"/>
                <w:tab w:val="left" w:pos="1134"/>
              </w:tabs>
              <w:spacing w:after="0"/>
              <w:jc w:val="left"/>
              <w:rPr>
                <w:rFonts w:cs="Arial"/>
              </w:rPr>
            </w:pPr>
            <w:r w:rsidRPr="00F10592">
              <w:rPr>
                <w:rFonts w:cs="Arial"/>
              </w:rPr>
              <w:t>Revised Demand Requirements</w:t>
            </w:r>
          </w:p>
        </w:tc>
        <w:tc>
          <w:tcPr>
            <w:tcW w:w="0" w:type="auto"/>
            <w:vAlign w:val="center"/>
          </w:tcPr>
          <w:p w14:paraId="319F6183" w14:textId="1A305BDC" w:rsidR="00AC67F1" w:rsidRPr="00F10592" w:rsidRDefault="00F10592" w:rsidP="00AC67F1">
            <w:pPr>
              <w:tabs>
                <w:tab w:val="left" w:pos="567"/>
                <w:tab w:val="left" w:pos="1134"/>
              </w:tabs>
              <w:spacing w:after="0"/>
              <w:jc w:val="center"/>
              <w:rPr>
                <w:rFonts w:cs="Arial"/>
              </w:rPr>
            </w:pPr>
            <w:r>
              <w:rPr>
                <w:rFonts w:cs="Arial"/>
              </w:rPr>
              <w:t>29.981</w:t>
            </w:r>
          </w:p>
        </w:tc>
        <w:tc>
          <w:tcPr>
            <w:tcW w:w="0" w:type="auto"/>
            <w:vAlign w:val="center"/>
          </w:tcPr>
          <w:p w14:paraId="4A6CABEA" w14:textId="4C238196" w:rsidR="00AC67F1" w:rsidRPr="00F10592" w:rsidRDefault="00F10592" w:rsidP="0059655B">
            <w:pPr>
              <w:tabs>
                <w:tab w:val="left" w:pos="567"/>
                <w:tab w:val="left" w:pos="1134"/>
              </w:tabs>
              <w:spacing w:after="0"/>
              <w:jc w:val="center"/>
              <w:rPr>
                <w:rFonts w:cs="Arial"/>
              </w:rPr>
            </w:pPr>
            <w:r>
              <w:rPr>
                <w:rFonts w:cs="Arial"/>
              </w:rPr>
              <w:t>1</w:t>
            </w:r>
            <w:r w:rsidR="0059655B">
              <w:rPr>
                <w:rFonts w:cs="Arial"/>
              </w:rPr>
              <w:t>5.448</w:t>
            </w:r>
          </w:p>
        </w:tc>
        <w:tc>
          <w:tcPr>
            <w:tcW w:w="0" w:type="auto"/>
            <w:vAlign w:val="center"/>
          </w:tcPr>
          <w:p w14:paraId="460C1B3B" w14:textId="1A860AC3" w:rsidR="00AC67F1" w:rsidRPr="00F10592" w:rsidRDefault="0059655B" w:rsidP="00AC67F1">
            <w:pPr>
              <w:tabs>
                <w:tab w:val="left" w:pos="567"/>
                <w:tab w:val="left" w:pos="1134"/>
              </w:tabs>
              <w:spacing w:after="0"/>
              <w:jc w:val="center"/>
              <w:rPr>
                <w:rFonts w:cs="Arial"/>
              </w:rPr>
            </w:pPr>
            <w:r>
              <w:rPr>
                <w:rFonts w:cs="Arial"/>
              </w:rPr>
              <w:t>18.498</w:t>
            </w:r>
          </w:p>
        </w:tc>
        <w:tc>
          <w:tcPr>
            <w:tcW w:w="0" w:type="auto"/>
            <w:vAlign w:val="center"/>
          </w:tcPr>
          <w:p w14:paraId="597D7D80" w14:textId="75BB7464" w:rsidR="00AC67F1" w:rsidRPr="00F10592" w:rsidRDefault="0059655B" w:rsidP="00AC67F1">
            <w:pPr>
              <w:tabs>
                <w:tab w:val="left" w:pos="567"/>
                <w:tab w:val="left" w:pos="1134"/>
              </w:tabs>
              <w:spacing w:after="0"/>
              <w:jc w:val="center"/>
              <w:rPr>
                <w:rFonts w:cs="Arial"/>
              </w:rPr>
            </w:pPr>
            <w:r>
              <w:rPr>
                <w:rFonts w:cs="Arial"/>
              </w:rPr>
              <w:t>21.214</w:t>
            </w:r>
          </w:p>
        </w:tc>
        <w:tc>
          <w:tcPr>
            <w:tcW w:w="983" w:type="dxa"/>
            <w:vAlign w:val="center"/>
          </w:tcPr>
          <w:p w14:paraId="3E4473E3" w14:textId="27F9D519" w:rsidR="00AC67F1" w:rsidRPr="00F10592" w:rsidRDefault="00F10592" w:rsidP="0059655B">
            <w:pPr>
              <w:tabs>
                <w:tab w:val="left" w:pos="567"/>
                <w:tab w:val="left" w:pos="1134"/>
              </w:tabs>
              <w:spacing w:after="0"/>
              <w:jc w:val="center"/>
              <w:rPr>
                <w:rFonts w:cs="Arial"/>
                <w:b/>
              </w:rPr>
            </w:pPr>
            <w:r>
              <w:rPr>
                <w:rFonts w:cs="Arial"/>
                <w:b/>
              </w:rPr>
              <w:t>8</w:t>
            </w:r>
            <w:r w:rsidR="0059655B">
              <w:rPr>
                <w:rFonts w:cs="Arial"/>
                <w:b/>
              </w:rPr>
              <w:t>5.141</w:t>
            </w:r>
          </w:p>
        </w:tc>
      </w:tr>
      <w:tr w:rsidR="00AC67F1" w:rsidRPr="00666242" w14:paraId="0699498C" w14:textId="77777777" w:rsidTr="00957B05">
        <w:trPr>
          <w:trHeight w:val="431"/>
          <w:jc w:val="center"/>
        </w:trPr>
        <w:tc>
          <w:tcPr>
            <w:tcW w:w="0" w:type="auto"/>
            <w:vAlign w:val="center"/>
          </w:tcPr>
          <w:p w14:paraId="2981D577" w14:textId="77777777" w:rsidR="00AC67F1" w:rsidRPr="00F10592" w:rsidRDefault="00AC67F1" w:rsidP="00AC67F1">
            <w:pPr>
              <w:tabs>
                <w:tab w:val="left" w:pos="567"/>
                <w:tab w:val="left" w:pos="1134"/>
              </w:tabs>
              <w:spacing w:after="0"/>
              <w:jc w:val="left"/>
              <w:rPr>
                <w:rFonts w:cs="Arial"/>
              </w:rPr>
            </w:pPr>
          </w:p>
        </w:tc>
        <w:tc>
          <w:tcPr>
            <w:tcW w:w="0" w:type="auto"/>
            <w:vAlign w:val="center"/>
          </w:tcPr>
          <w:p w14:paraId="74E71131" w14:textId="77777777" w:rsidR="00AC67F1" w:rsidRPr="00F10592" w:rsidRDefault="00AC67F1" w:rsidP="00AC67F1">
            <w:pPr>
              <w:tabs>
                <w:tab w:val="left" w:pos="567"/>
                <w:tab w:val="left" w:pos="1134"/>
              </w:tabs>
              <w:spacing w:after="0"/>
              <w:jc w:val="center"/>
              <w:rPr>
                <w:rFonts w:cs="Arial"/>
              </w:rPr>
            </w:pPr>
          </w:p>
        </w:tc>
        <w:tc>
          <w:tcPr>
            <w:tcW w:w="0" w:type="auto"/>
            <w:vAlign w:val="center"/>
          </w:tcPr>
          <w:p w14:paraId="5F8B7245" w14:textId="77777777" w:rsidR="00AC67F1" w:rsidRPr="00F10592" w:rsidRDefault="00AC67F1" w:rsidP="00AC67F1">
            <w:pPr>
              <w:tabs>
                <w:tab w:val="left" w:pos="567"/>
                <w:tab w:val="left" w:pos="1134"/>
              </w:tabs>
              <w:spacing w:after="0"/>
              <w:jc w:val="center"/>
              <w:rPr>
                <w:rFonts w:cs="Arial"/>
              </w:rPr>
            </w:pPr>
          </w:p>
        </w:tc>
        <w:tc>
          <w:tcPr>
            <w:tcW w:w="0" w:type="auto"/>
            <w:vAlign w:val="center"/>
          </w:tcPr>
          <w:p w14:paraId="03ABA972" w14:textId="77777777" w:rsidR="00AC67F1" w:rsidRPr="00F10592" w:rsidRDefault="00AC67F1" w:rsidP="00AC67F1">
            <w:pPr>
              <w:tabs>
                <w:tab w:val="left" w:pos="567"/>
                <w:tab w:val="left" w:pos="1134"/>
              </w:tabs>
              <w:spacing w:after="0"/>
              <w:jc w:val="center"/>
              <w:rPr>
                <w:rFonts w:cs="Arial"/>
              </w:rPr>
            </w:pPr>
          </w:p>
        </w:tc>
        <w:tc>
          <w:tcPr>
            <w:tcW w:w="0" w:type="auto"/>
            <w:vAlign w:val="center"/>
          </w:tcPr>
          <w:p w14:paraId="6B902EDD" w14:textId="77777777" w:rsidR="00AC67F1" w:rsidRPr="00F10592" w:rsidRDefault="00AC67F1" w:rsidP="00AC67F1">
            <w:pPr>
              <w:tabs>
                <w:tab w:val="left" w:pos="567"/>
                <w:tab w:val="left" w:pos="1134"/>
              </w:tabs>
              <w:spacing w:after="0"/>
              <w:jc w:val="center"/>
              <w:rPr>
                <w:rFonts w:cs="Arial"/>
              </w:rPr>
            </w:pPr>
          </w:p>
        </w:tc>
        <w:tc>
          <w:tcPr>
            <w:tcW w:w="983" w:type="dxa"/>
            <w:vAlign w:val="center"/>
          </w:tcPr>
          <w:p w14:paraId="1562B3D2" w14:textId="77777777" w:rsidR="00AC67F1" w:rsidRPr="00F10592" w:rsidRDefault="00AC67F1" w:rsidP="00AC67F1">
            <w:pPr>
              <w:tabs>
                <w:tab w:val="left" w:pos="567"/>
                <w:tab w:val="left" w:pos="1134"/>
              </w:tabs>
              <w:spacing w:after="0"/>
              <w:jc w:val="center"/>
              <w:rPr>
                <w:rFonts w:cs="Arial"/>
                <w:b/>
              </w:rPr>
            </w:pPr>
          </w:p>
        </w:tc>
      </w:tr>
      <w:tr w:rsidR="00AC67F1" w:rsidRPr="00624737" w14:paraId="13C92C1C" w14:textId="77777777" w:rsidTr="00957B05">
        <w:trPr>
          <w:trHeight w:val="684"/>
          <w:jc w:val="center"/>
        </w:trPr>
        <w:tc>
          <w:tcPr>
            <w:tcW w:w="0" w:type="auto"/>
            <w:vAlign w:val="center"/>
          </w:tcPr>
          <w:p w14:paraId="41A7338F" w14:textId="77777777" w:rsidR="00AC67F1" w:rsidRPr="00624737" w:rsidRDefault="00AC67F1" w:rsidP="00AC67F1">
            <w:pPr>
              <w:tabs>
                <w:tab w:val="left" w:pos="567"/>
                <w:tab w:val="left" w:pos="1134"/>
              </w:tabs>
              <w:spacing w:after="0"/>
              <w:jc w:val="left"/>
              <w:rPr>
                <w:rFonts w:cs="Arial"/>
                <w:b/>
              </w:rPr>
            </w:pPr>
            <w:r w:rsidRPr="00624737">
              <w:rPr>
                <w:rFonts w:cs="Arial"/>
                <w:b/>
              </w:rPr>
              <w:t>Impact on Financial Gap</w:t>
            </w:r>
          </w:p>
        </w:tc>
        <w:tc>
          <w:tcPr>
            <w:tcW w:w="0" w:type="auto"/>
            <w:vAlign w:val="center"/>
          </w:tcPr>
          <w:p w14:paraId="4671DB87" w14:textId="1966E344" w:rsidR="00AC67F1" w:rsidRPr="00624737" w:rsidRDefault="00F10592" w:rsidP="00AC67F1">
            <w:pPr>
              <w:tabs>
                <w:tab w:val="left" w:pos="567"/>
                <w:tab w:val="left" w:pos="1134"/>
              </w:tabs>
              <w:spacing w:after="0"/>
              <w:jc w:val="center"/>
              <w:rPr>
                <w:rFonts w:cs="Arial"/>
                <w:b/>
              </w:rPr>
            </w:pPr>
            <w:r w:rsidRPr="00624737">
              <w:rPr>
                <w:rFonts w:cs="Arial"/>
                <w:b/>
              </w:rPr>
              <w:t>15.954</w:t>
            </w:r>
          </w:p>
        </w:tc>
        <w:tc>
          <w:tcPr>
            <w:tcW w:w="0" w:type="auto"/>
            <w:vAlign w:val="center"/>
          </w:tcPr>
          <w:p w14:paraId="18FF9712" w14:textId="68064CE6" w:rsidR="00AC67F1" w:rsidRPr="00624737" w:rsidRDefault="0059655B" w:rsidP="0059655B">
            <w:pPr>
              <w:tabs>
                <w:tab w:val="left" w:pos="567"/>
                <w:tab w:val="left" w:pos="1134"/>
              </w:tabs>
              <w:spacing w:after="0"/>
              <w:jc w:val="center"/>
              <w:rPr>
                <w:rFonts w:cs="Arial"/>
                <w:b/>
              </w:rPr>
            </w:pPr>
            <w:r>
              <w:rPr>
                <w:rFonts w:cs="Arial"/>
                <w:b/>
              </w:rPr>
              <w:t>1.936</w:t>
            </w:r>
          </w:p>
        </w:tc>
        <w:tc>
          <w:tcPr>
            <w:tcW w:w="0" w:type="auto"/>
            <w:vAlign w:val="center"/>
          </w:tcPr>
          <w:p w14:paraId="20535CE4" w14:textId="4EF4BF91" w:rsidR="00AC67F1" w:rsidRPr="00624737" w:rsidRDefault="0059655B" w:rsidP="00AC67F1">
            <w:pPr>
              <w:tabs>
                <w:tab w:val="left" w:pos="567"/>
                <w:tab w:val="left" w:pos="1134"/>
              </w:tabs>
              <w:spacing w:after="0"/>
              <w:jc w:val="center"/>
              <w:rPr>
                <w:rFonts w:cs="Arial"/>
                <w:b/>
              </w:rPr>
            </w:pPr>
            <w:r>
              <w:rPr>
                <w:rFonts w:cs="Arial"/>
                <w:b/>
              </w:rPr>
              <w:t>3.875</w:t>
            </w:r>
          </w:p>
        </w:tc>
        <w:tc>
          <w:tcPr>
            <w:tcW w:w="0" w:type="auto"/>
            <w:vAlign w:val="center"/>
          </w:tcPr>
          <w:p w14:paraId="391F5804" w14:textId="49FD674E" w:rsidR="00AC67F1" w:rsidRPr="00624737" w:rsidRDefault="0059655B" w:rsidP="00AC67F1">
            <w:pPr>
              <w:tabs>
                <w:tab w:val="left" w:pos="567"/>
                <w:tab w:val="left" w:pos="1134"/>
              </w:tabs>
              <w:spacing w:after="0"/>
              <w:jc w:val="center"/>
              <w:rPr>
                <w:rFonts w:cs="Arial"/>
                <w:b/>
              </w:rPr>
            </w:pPr>
            <w:r>
              <w:rPr>
                <w:rFonts w:cs="Arial"/>
                <w:b/>
              </w:rPr>
              <w:t>4.078</w:t>
            </w:r>
          </w:p>
        </w:tc>
        <w:tc>
          <w:tcPr>
            <w:tcW w:w="983" w:type="dxa"/>
            <w:vAlign w:val="center"/>
          </w:tcPr>
          <w:p w14:paraId="02806C58" w14:textId="1D0A7611" w:rsidR="00AC67F1" w:rsidRPr="00624737" w:rsidRDefault="0059655B" w:rsidP="00F10592">
            <w:pPr>
              <w:tabs>
                <w:tab w:val="left" w:pos="567"/>
                <w:tab w:val="left" w:pos="1134"/>
              </w:tabs>
              <w:spacing w:after="0"/>
              <w:jc w:val="center"/>
              <w:rPr>
                <w:rFonts w:cs="Arial"/>
                <w:b/>
              </w:rPr>
            </w:pPr>
            <w:r>
              <w:rPr>
                <w:rFonts w:cs="Arial"/>
                <w:b/>
              </w:rPr>
              <w:t>25.843</w:t>
            </w:r>
          </w:p>
        </w:tc>
      </w:tr>
    </w:tbl>
    <w:p w14:paraId="4B51672F" w14:textId="77777777" w:rsidR="00F53647" w:rsidRPr="0000699F" w:rsidRDefault="00F53647" w:rsidP="00F53647">
      <w:pPr>
        <w:tabs>
          <w:tab w:val="left" w:pos="567"/>
          <w:tab w:val="left" w:pos="1134"/>
        </w:tabs>
        <w:spacing w:after="0"/>
        <w:rPr>
          <w:rFonts w:cs="Arial"/>
        </w:rPr>
      </w:pPr>
    </w:p>
    <w:p w14:paraId="0CF061E6" w14:textId="142D8220" w:rsidR="00F53647" w:rsidRPr="0000699F" w:rsidRDefault="009A71EE" w:rsidP="000C0795">
      <w:pPr>
        <w:spacing w:after="0"/>
        <w:rPr>
          <w:rFonts w:cs="Arial"/>
        </w:rPr>
      </w:pPr>
      <w:r w:rsidRPr="0000699F">
        <w:rPr>
          <w:rFonts w:cs="Arial"/>
        </w:rPr>
        <w:t>A</w:t>
      </w:r>
      <w:r w:rsidR="00F53647" w:rsidRPr="0000699F">
        <w:rPr>
          <w:rFonts w:cs="Arial"/>
        </w:rPr>
        <w:t xml:space="preserve">dult </w:t>
      </w:r>
      <w:r w:rsidRPr="0000699F">
        <w:rPr>
          <w:rFonts w:cs="Arial"/>
        </w:rPr>
        <w:t>S</w:t>
      </w:r>
      <w:r w:rsidR="00F53647" w:rsidRPr="0000699F">
        <w:rPr>
          <w:rFonts w:cs="Arial"/>
        </w:rPr>
        <w:t xml:space="preserve">ocial </w:t>
      </w:r>
      <w:r w:rsidRPr="0000699F">
        <w:rPr>
          <w:rFonts w:cs="Arial"/>
        </w:rPr>
        <w:t>C</w:t>
      </w:r>
      <w:r w:rsidR="00F53647" w:rsidRPr="0000699F">
        <w:rPr>
          <w:rFonts w:cs="Arial"/>
        </w:rPr>
        <w:t xml:space="preserve">are represents </w:t>
      </w:r>
      <w:r w:rsidR="0000699F" w:rsidRPr="0000699F">
        <w:rPr>
          <w:rFonts w:cs="Arial"/>
        </w:rPr>
        <w:t xml:space="preserve">a large proportion of </w:t>
      </w:r>
      <w:r w:rsidR="00F53647" w:rsidRPr="0000699F">
        <w:rPr>
          <w:rFonts w:cs="Arial"/>
        </w:rPr>
        <w:t>the demand</w:t>
      </w:r>
      <w:r w:rsidR="00F53647" w:rsidRPr="0000699F">
        <w:rPr>
          <w:rFonts w:cs="Arial"/>
          <w:b/>
        </w:rPr>
        <w:t xml:space="preserve"> </w:t>
      </w:r>
      <w:r w:rsidR="00F53647" w:rsidRPr="0000699F">
        <w:rPr>
          <w:rFonts w:cs="Arial"/>
        </w:rPr>
        <w:t>pressures.</w:t>
      </w:r>
      <w:r w:rsidR="00F53647" w:rsidRPr="0000699F">
        <w:rPr>
          <w:rFonts w:cs="Arial"/>
          <w:b/>
        </w:rPr>
        <w:t xml:space="preserve">  </w:t>
      </w:r>
      <w:r w:rsidR="00F53647" w:rsidRPr="0000699F">
        <w:rPr>
          <w:rFonts w:cs="Arial"/>
        </w:rPr>
        <w:t xml:space="preserve">Adult </w:t>
      </w:r>
      <w:r w:rsidRPr="0000699F">
        <w:rPr>
          <w:rFonts w:cs="Arial"/>
        </w:rPr>
        <w:t>S</w:t>
      </w:r>
      <w:r w:rsidR="00F53647" w:rsidRPr="0000699F">
        <w:rPr>
          <w:rFonts w:cs="Arial"/>
        </w:rPr>
        <w:t xml:space="preserve">ocial </w:t>
      </w:r>
      <w:r w:rsidRPr="0000699F">
        <w:rPr>
          <w:rFonts w:cs="Arial"/>
        </w:rPr>
        <w:t>C</w:t>
      </w:r>
      <w:r w:rsidR="00F53647" w:rsidRPr="0000699F">
        <w:rPr>
          <w:rFonts w:cs="Arial"/>
        </w:rPr>
        <w:t>are has long seen annual increases in the demand for services and the MTFS attempts to predict growth in future years largely based on past activity trends but also taking into account future population changes.</w:t>
      </w:r>
    </w:p>
    <w:p w14:paraId="7CE876A3" w14:textId="77777777" w:rsidR="00F53647" w:rsidRPr="00666242" w:rsidRDefault="00F53647" w:rsidP="000C0795">
      <w:pPr>
        <w:spacing w:after="0"/>
        <w:rPr>
          <w:rFonts w:cs="Arial"/>
          <w:highlight w:val="yellow"/>
        </w:rPr>
      </w:pPr>
    </w:p>
    <w:p w14:paraId="7D1C535B" w14:textId="77777777" w:rsidR="00F53647" w:rsidRPr="0000699F" w:rsidRDefault="00F53647" w:rsidP="000C0795">
      <w:pPr>
        <w:rPr>
          <w:rFonts w:cs="Arial"/>
        </w:rPr>
      </w:pPr>
      <w:r w:rsidRPr="0000699F">
        <w:rPr>
          <w:rFonts w:cs="Arial"/>
        </w:rPr>
        <w:t>In deriving the estimated cost of demand the following projections have been used:</w:t>
      </w:r>
    </w:p>
    <w:p w14:paraId="40D903C9" w14:textId="61C92BE0" w:rsidR="007D249C" w:rsidRPr="007D249C" w:rsidRDefault="00F53647" w:rsidP="007D249C">
      <w:pPr>
        <w:pStyle w:val="ListParagraph"/>
        <w:numPr>
          <w:ilvl w:val="0"/>
          <w:numId w:val="26"/>
        </w:numPr>
        <w:ind w:left="426" w:hanging="437"/>
        <w:rPr>
          <w:rFonts w:cs="Arial"/>
        </w:rPr>
      </w:pPr>
      <w:r w:rsidRPr="0000699F">
        <w:rPr>
          <w:rFonts w:cs="Arial"/>
        </w:rPr>
        <w:lastRenderedPageBreak/>
        <w:t>Older People – population projections from the ONS for the aged over 85 population.</w:t>
      </w:r>
    </w:p>
    <w:p w14:paraId="79B97B3D" w14:textId="77777777" w:rsidR="00F53647" w:rsidRPr="00666242" w:rsidRDefault="00F53647" w:rsidP="00F53647">
      <w:pPr>
        <w:pStyle w:val="ListParagraph"/>
        <w:ind w:left="426"/>
        <w:rPr>
          <w:rFonts w:cs="Arial"/>
          <w:highlight w:val="yellow"/>
        </w:rPr>
      </w:pPr>
    </w:p>
    <w:tbl>
      <w:tblPr>
        <w:tblW w:w="8266" w:type="dxa"/>
        <w:jc w:val="center"/>
        <w:tblLayout w:type="fixed"/>
        <w:tblLook w:val="04A0" w:firstRow="1" w:lastRow="0" w:firstColumn="1" w:lastColumn="0" w:noHBand="0" w:noVBand="1"/>
      </w:tblPr>
      <w:tblGrid>
        <w:gridCol w:w="2977"/>
        <w:gridCol w:w="1322"/>
        <w:gridCol w:w="1322"/>
        <w:gridCol w:w="1322"/>
        <w:gridCol w:w="1323"/>
      </w:tblGrid>
      <w:tr w:rsidR="0000699F" w:rsidRPr="00957B05" w14:paraId="2D6FE979" w14:textId="77777777" w:rsidTr="00957B05">
        <w:trPr>
          <w:trHeight w:val="403"/>
          <w:jc w:val="center"/>
        </w:trPr>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B9CBF1" w14:textId="77777777" w:rsidR="0000699F" w:rsidRPr="00957B05" w:rsidRDefault="0000699F" w:rsidP="005A1497">
            <w:pPr>
              <w:spacing w:after="0"/>
              <w:jc w:val="left"/>
              <w:rPr>
                <w:rFonts w:eastAsia="Times New Roman" w:cs="Arial"/>
                <w:b/>
                <w:lang w:eastAsia="en-GB"/>
              </w:rPr>
            </w:pPr>
          </w:p>
        </w:tc>
        <w:tc>
          <w:tcPr>
            <w:tcW w:w="13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9EF36B7" w14:textId="77777777" w:rsidR="0000699F" w:rsidRPr="00957B05" w:rsidRDefault="0000699F" w:rsidP="005B6A8A">
            <w:pPr>
              <w:spacing w:after="0"/>
              <w:jc w:val="center"/>
              <w:rPr>
                <w:rFonts w:eastAsia="Times New Roman" w:cs="Arial"/>
                <w:b/>
                <w:lang w:eastAsia="en-GB"/>
              </w:rPr>
            </w:pPr>
            <w:r w:rsidRPr="00957B05">
              <w:rPr>
                <w:rFonts w:eastAsia="Times New Roman" w:cs="Arial"/>
                <w:b/>
                <w:lang w:eastAsia="en-GB"/>
              </w:rPr>
              <w:t>2017/18</w:t>
            </w:r>
          </w:p>
        </w:tc>
        <w:tc>
          <w:tcPr>
            <w:tcW w:w="13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130059" w14:textId="77777777" w:rsidR="0000699F" w:rsidRPr="00957B05" w:rsidRDefault="0000699F" w:rsidP="005B6A8A">
            <w:pPr>
              <w:spacing w:after="0"/>
              <w:jc w:val="center"/>
              <w:rPr>
                <w:rFonts w:eastAsia="Times New Roman" w:cs="Arial"/>
                <w:b/>
                <w:lang w:eastAsia="en-GB"/>
              </w:rPr>
            </w:pPr>
            <w:r w:rsidRPr="00957B05">
              <w:rPr>
                <w:rFonts w:eastAsia="Times New Roman" w:cs="Arial"/>
                <w:b/>
                <w:lang w:eastAsia="en-GB"/>
              </w:rPr>
              <w:t>2018/19</w:t>
            </w:r>
          </w:p>
        </w:tc>
        <w:tc>
          <w:tcPr>
            <w:tcW w:w="13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01161A" w14:textId="77777777" w:rsidR="0000699F" w:rsidRPr="00957B05" w:rsidRDefault="0000699F" w:rsidP="005B6A8A">
            <w:pPr>
              <w:spacing w:after="0"/>
              <w:jc w:val="center"/>
              <w:rPr>
                <w:rFonts w:eastAsia="Times New Roman" w:cs="Arial"/>
                <w:b/>
                <w:lang w:eastAsia="en-GB"/>
              </w:rPr>
            </w:pPr>
            <w:r w:rsidRPr="00957B05">
              <w:rPr>
                <w:rFonts w:eastAsia="Times New Roman" w:cs="Arial"/>
                <w:b/>
                <w:lang w:eastAsia="en-GB"/>
              </w:rPr>
              <w:t>2019/20</w:t>
            </w:r>
          </w:p>
        </w:tc>
        <w:tc>
          <w:tcPr>
            <w:tcW w:w="13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B986AA" w14:textId="77777777" w:rsidR="0000699F" w:rsidRPr="00957B05" w:rsidRDefault="0000699F" w:rsidP="005B6A8A">
            <w:pPr>
              <w:spacing w:after="0"/>
              <w:jc w:val="center"/>
              <w:rPr>
                <w:rFonts w:eastAsia="Times New Roman" w:cs="Arial"/>
                <w:b/>
                <w:lang w:eastAsia="en-GB"/>
              </w:rPr>
            </w:pPr>
            <w:r w:rsidRPr="00957B05">
              <w:rPr>
                <w:rFonts w:eastAsia="Times New Roman" w:cs="Arial"/>
                <w:b/>
                <w:lang w:eastAsia="en-GB"/>
              </w:rPr>
              <w:t>2020/21</w:t>
            </w:r>
          </w:p>
        </w:tc>
      </w:tr>
      <w:tr w:rsidR="0000699F" w:rsidRPr="00957B05" w14:paraId="086704B9" w14:textId="77777777" w:rsidTr="00957B05">
        <w:trPr>
          <w:trHeight w:val="532"/>
          <w:jc w:val="center"/>
        </w:trPr>
        <w:tc>
          <w:tcPr>
            <w:tcW w:w="2977" w:type="dxa"/>
            <w:tcBorders>
              <w:top w:val="nil"/>
              <w:left w:val="single" w:sz="4" w:space="0" w:color="auto"/>
              <w:bottom w:val="single" w:sz="4" w:space="0" w:color="auto"/>
              <w:right w:val="single" w:sz="4" w:space="0" w:color="auto"/>
            </w:tcBorders>
          </w:tcPr>
          <w:p w14:paraId="395C85E6" w14:textId="77777777" w:rsidR="0000699F" w:rsidRPr="00957B05" w:rsidRDefault="0000699F" w:rsidP="000A4469">
            <w:pPr>
              <w:spacing w:after="0"/>
              <w:jc w:val="left"/>
              <w:rPr>
                <w:rFonts w:eastAsia="Times New Roman" w:cs="Arial"/>
                <w:lang w:eastAsia="en-GB"/>
              </w:rPr>
            </w:pPr>
            <w:r w:rsidRPr="00957B05">
              <w:rPr>
                <w:rFonts w:eastAsia="Times New Roman" w:cs="Arial"/>
                <w:lang w:eastAsia="en-GB"/>
              </w:rPr>
              <w:t>Total Older People Population Projection Growth</w:t>
            </w:r>
          </w:p>
        </w:tc>
        <w:tc>
          <w:tcPr>
            <w:tcW w:w="1322" w:type="dxa"/>
            <w:tcBorders>
              <w:top w:val="nil"/>
              <w:left w:val="nil"/>
              <w:bottom w:val="single" w:sz="4" w:space="0" w:color="auto"/>
              <w:right w:val="single" w:sz="4" w:space="0" w:color="auto"/>
            </w:tcBorders>
            <w:shd w:val="clear" w:color="auto" w:fill="auto"/>
            <w:noWrap/>
            <w:vAlign w:val="center"/>
            <w:hideMark/>
          </w:tcPr>
          <w:p w14:paraId="11BAEA4D" w14:textId="45FCD816" w:rsidR="0000699F" w:rsidRPr="00957B05" w:rsidRDefault="0000699F" w:rsidP="005B6A8A">
            <w:pPr>
              <w:spacing w:after="0"/>
              <w:jc w:val="center"/>
              <w:rPr>
                <w:rFonts w:eastAsia="Times New Roman" w:cs="Arial"/>
                <w:lang w:eastAsia="en-GB"/>
              </w:rPr>
            </w:pPr>
            <w:r w:rsidRPr="00957B05">
              <w:rPr>
                <w:rFonts w:eastAsia="Times New Roman" w:cs="Arial"/>
                <w:lang w:eastAsia="en-GB"/>
              </w:rPr>
              <w:t>1.92%</w:t>
            </w:r>
          </w:p>
        </w:tc>
        <w:tc>
          <w:tcPr>
            <w:tcW w:w="1322" w:type="dxa"/>
            <w:tcBorders>
              <w:top w:val="nil"/>
              <w:left w:val="nil"/>
              <w:bottom w:val="single" w:sz="4" w:space="0" w:color="auto"/>
              <w:right w:val="single" w:sz="4" w:space="0" w:color="auto"/>
            </w:tcBorders>
            <w:shd w:val="clear" w:color="auto" w:fill="auto"/>
            <w:noWrap/>
            <w:vAlign w:val="center"/>
            <w:hideMark/>
          </w:tcPr>
          <w:p w14:paraId="4ABB46CB" w14:textId="1A5AFF03" w:rsidR="0000699F" w:rsidRPr="00957B05" w:rsidRDefault="0000699F" w:rsidP="005B6A8A">
            <w:pPr>
              <w:spacing w:after="0"/>
              <w:jc w:val="center"/>
              <w:rPr>
                <w:rFonts w:eastAsia="Times New Roman" w:cs="Arial"/>
                <w:lang w:eastAsia="en-GB"/>
              </w:rPr>
            </w:pPr>
            <w:r w:rsidRPr="00957B05">
              <w:rPr>
                <w:rFonts w:eastAsia="Times New Roman" w:cs="Arial"/>
                <w:lang w:eastAsia="en-GB"/>
              </w:rPr>
              <w:t>2.52%</w:t>
            </w:r>
          </w:p>
        </w:tc>
        <w:tc>
          <w:tcPr>
            <w:tcW w:w="1322" w:type="dxa"/>
            <w:tcBorders>
              <w:top w:val="nil"/>
              <w:left w:val="nil"/>
              <w:bottom w:val="single" w:sz="4" w:space="0" w:color="auto"/>
              <w:right w:val="single" w:sz="4" w:space="0" w:color="auto"/>
            </w:tcBorders>
            <w:shd w:val="clear" w:color="auto" w:fill="auto"/>
            <w:noWrap/>
            <w:vAlign w:val="center"/>
            <w:hideMark/>
          </w:tcPr>
          <w:p w14:paraId="0D97A3C7" w14:textId="076741A1" w:rsidR="0000699F" w:rsidRPr="00957B05" w:rsidRDefault="0000699F" w:rsidP="005B6A8A">
            <w:pPr>
              <w:spacing w:after="0"/>
              <w:jc w:val="center"/>
              <w:rPr>
                <w:rFonts w:eastAsia="Times New Roman" w:cs="Arial"/>
                <w:lang w:eastAsia="en-GB"/>
              </w:rPr>
            </w:pPr>
            <w:r w:rsidRPr="00957B05">
              <w:rPr>
                <w:rFonts w:eastAsia="Times New Roman" w:cs="Arial"/>
                <w:lang w:eastAsia="en-GB"/>
              </w:rPr>
              <w:t>3.07%</w:t>
            </w:r>
          </w:p>
        </w:tc>
        <w:tc>
          <w:tcPr>
            <w:tcW w:w="1323" w:type="dxa"/>
            <w:tcBorders>
              <w:top w:val="nil"/>
              <w:left w:val="nil"/>
              <w:bottom w:val="single" w:sz="4" w:space="0" w:color="auto"/>
              <w:right w:val="single" w:sz="4" w:space="0" w:color="auto"/>
            </w:tcBorders>
            <w:shd w:val="clear" w:color="auto" w:fill="auto"/>
            <w:noWrap/>
            <w:vAlign w:val="center"/>
            <w:hideMark/>
          </w:tcPr>
          <w:p w14:paraId="0D72CE75" w14:textId="7AF60E40" w:rsidR="0000699F" w:rsidRPr="00957B05" w:rsidRDefault="0000699F" w:rsidP="0000699F">
            <w:pPr>
              <w:spacing w:after="0"/>
              <w:jc w:val="center"/>
              <w:rPr>
                <w:rFonts w:eastAsia="Times New Roman" w:cs="Arial"/>
                <w:lang w:eastAsia="en-GB"/>
              </w:rPr>
            </w:pPr>
            <w:r w:rsidRPr="00957B05">
              <w:rPr>
                <w:rFonts w:eastAsia="Times New Roman" w:cs="Arial"/>
                <w:lang w:eastAsia="en-GB"/>
              </w:rPr>
              <w:t>3.57%</w:t>
            </w:r>
          </w:p>
        </w:tc>
      </w:tr>
    </w:tbl>
    <w:p w14:paraId="732CD2BE" w14:textId="3C6D83F8" w:rsidR="00F53647" w:rsidRDefault="007D249C" w:rsidP="00F53647">
      <w:pPr>
        <w:rPr>
          <w:rFonts w:cs="Arial"/>
          <w:highlight w:val="yellow"/>
        </w:rPr>
      </w:pPr>
      <w:r>
        <w:rPr>
          <w:rFonts w:cs="Arial"/>
          <w:highlight w:val="yellow"/>
        </w:rPr>
        <w:t xml:space="preserve"> </w:t>
      </w:r>
    </w:p>
    <w:p w14:paraId="5395DF10" w14:textId="093C8F2E" w:rsidR="007D249C" w:rsidRDefault="007D249C" w:rsidP="007D249C">
      <w:pPr>
        <w:pStyle w:val="ListParagraph"/>
        <w:ind w:left="502"/>
        <w:rPr>
          <w:rFonts w:cs="Arial"/>
        </w:rPr>
      </w:pPr>
      <w:r w:rsidRPr="007D249C">
        <w:rPr>
          <w:rFonts w:cs="Arial"/>
        </w:rPr>
        <w:t>These have been update</w:t>
      </w:r>
      <w:r w:rsidR="00943202">
        <w:rPr>
          <w:rFonts w:cs="Arial"/>
        </w:rPr>
        <w:t>d</w:t>
      </w:r>
      <w:r w:rsidRPr="007D249C">
        <w:rPr>
          <w:rFonts w:cs="Arial"/>
        </w:rPr>
        <w:t xml:space="preserve"> from the previous MTFS resulting in an </w:t>
      </w:r>
      <w:r>
        <w:rPr>
          <w:rFonts w:cs="Arial"/>
        </w:rPr>
        <w:t>£5.6m inc</w:t>
      </w:r>
      <w:r w:rsidR="00943202">
        <w:rPr>
          <w:rFonts w:cs="Arial"/>
        </w:rPr>
        <w:t xml:space="preserve">rease in the budget requirement, primarily from 2019/20 onwards. </w:t>
      </w:r>
    </w:p>
    <w:p w14:paraId="6F3C2400" w14:textId="77777777" w:rsidR="007D249C" w:rsidRPr="007D249C" w:rsidRDefault="007D249C" w:rsidP="007D249C">
      <w:pPr>
        <w:pStyle w:val="ListParagraph"/>
        <w:ind w:left="502"/>
        <w:rPr>
          <w:rFonts w:cs="Arial"/>
        </w:rPr>
      </w:pPr>
    </w:p>
    <w:p w14:paraId="5532A3F5" w14:textId="712793D9" w:rsidR="000C0795" w:rsidRDefault="0000699F" w:rsidP="007D249C">
      <w:pPr>
        <w:pStyle w:val="ListParagraph"/>
        <w:ind w:left="502"/>
        <w:rPr>
          <w:rFonts w:cs="Arial"/>
        </w:rPr>
      </w:pPr>
      <w:r w:rsidRPr="0000699F">
        <w:rPr>
          <w:rFonts w:cs="Arial"/>
        </w:rPr>
        <w:t xml:space="preserve">All other </w:t>
      </w:r>
      <w:r>
        <w:rPr>
          <w:rFonts w:cs="Arial"/>
        </w:rPr>
        <w:t>demand</w:t>
      </w:r>
      <w:r w:rsidRPr="0000699F">
        <w:rPr>
          <w:rFonts w:cs="Arial"/>
        </w:rPr>
        <w:t xml:space="preserve"> assumptions contained within this revised MTFS </w:t>
      </w:r>
      <w:r w:rsidR="007D249C">
        <w:rPr>
          <w:rFonts w:cs="Arial"/>
        </w:rPr>
        <w:t xml:space="preserve">regarding Adult Social Care </w:t>
      </w:r>
      <w:r w:rsidRPr="0000699F">
        <w:rPr>
          <w:rFonts w:cs="Arial"/>
        </w:rPr>
        <w:t>have remained the same as those used in the MTFS and funding gap reported to Full Council in February 2016.</w:t>
      </w:r>
    </w:p>
    <w:p w14:paraId="5340144D" w14:textId="306DD13F" w:rsidR="0000699F" w:rsidRDefault="0000699F" w:rsidP="0000699F">
      <w:pPr>
        <w:pStyle w:val="ListParagraph"/>
        <w:ind w:left="502"/>
        <w:rPr>
          <w:rFonts w:cs="Arial"/>
        </w:rPr>
      </w:pPr>
    </w:p>
    <w:p w14:paraId="4084A882" w14:textId="415D9CF8" w:rsidR="005A1497" w:rsidRDefault="0000699F" w:rsidP="005C03EB">
      <w:pPr>
        <w:pStyle w:val="ListParagraph"/>
        <w:numPr>
          <w:ilvl w:val="0"/>
          <w:numId w:val="26"/>
        </w:numPr>
        <w:spacing w:after="0"/>
        <w:rPr>
          <w:rFonts w:cs="Arial"/>
        </w:rPr>
      </w:pPr>
      <w:r>
        <w:rPr>
          <w:rFonts w:cs="Arial"/>
        </w:rPr>
        <w:t>The cost of Children's Social Care demand has significantly increased as part of this revised MTFS</w:t>
      </w:r>
      <w:r w:rsidR="005A1497">
        <w:rPr>
          <w:rFonts w:cs="Arial"/>
        </w:rPr>
        <w:t xml:space="preserve"> (and can be linked to the budget monitoring positon for Children's Social Care)</w:t>
      </w:r>
      <w:r w:rsidR="007D249C">
        <w:rPr>
          <w:rFonts w:cs="Arial"/>
        </w:rPr>
        <w:t>. An amount of £6</w:t>
      </w:r>
      <w:r>
        <w:rPr>
          <w:rFonts w:cs="Arial"/>
        </w:rPr>
        <w:t xml:space="preserve">.807m </w:t>
      </w:r>
      <w:r w:rsidR="007D249C">
        <w:rPr>
          <w:rFonts w:cs="Arial"/>
        </w:rPr>
        <w:t>including £5.000m to meet additional costs, primarily social worker capacity post Ofsted inspection were p</w:t>
      </w:r>
      <w:r>
        <w:rPr>
          <w:rFonts w:cs="Arial"/>
        </w:rPr>
        <w:t>reviously included in the MTFS for the 4 year period</w:t>
      </w:r>
      <w:r w:rsidR="005A1497">
        <w:rPr>
          <w:rFonts w:cs="Arial"/>
        </w:rPr>
        <w:t xml:space="preserve">. </w:t>
      </w:r>
    </w:p>
    <w:p w14:paraId="73D7C75F" w14:textId="77777777" w:rsidR="00624737" w:rsidRPr="00624737" w:rsidRDefault="00624737" w:rsidP="00624737">
      <w:pPr>
        <w:pStyle w:val="ListParagraph"/>
        <w:rPr>
          <w:rFonts w:cs="Arial"/>
        </w:rPr>
      </w:pPr>
    </w:p>
    <w:p w14:paraId="4B937AB8" w14:textId="74513F7C" w:rsidR="00624737" w:rsidRDefault="00624737" w:rsidP="00624737">
      <w:pPr>
        <w:pStyle w:val="ListParagraph"/>
        <w:spacing w:after="0"/>
        <w:ind w:left="502"/>
        <w:rPr>
          <w:rFonts w:cs="Arial"/>
        </w:rPr>
      </w:pPr>
      <w:r w:rsidRPr="0067735C">
        <w:rPr>
          <w:rFonts w:cs="Arial"/>
        </w:rPr>
        <w:t>The forecast is based on available financial and activity information and assumes that placements will increase</w:t>
      </w:r>
      <w:r>
        <w:rPr>
          <w:rFonts w:cs="Arial"/>
        </w:rPr>
        <w:t xml:space="preserve"> over the next 12 months</w:t>
      </w:r>
      <w:r w:rsidRPr="0067735C">
        <w:rPr>
          <w:rFonts w:cs="Arial"/>
        </w:rPr>
        <w:t xml:space="preserve"> by </w:t>
      </w:r>
      <w:r>
        <w:rPr>
          <w:rFonts w:cs="Arial"/>
        </w:rPr>
        <w:t>0.8% per month and then after that will increase as per child population increases</w:t>
      </w:r>
      <w:r w:rsidRPr="0067735C">
        <w:rPr>
          <w:rFonts w:cs="Arial"/>
        </w:rPr>
        <w:t>.  Work is underway to review the underlying reasons for inc</w:t>
      </w:r>
      <w:r>
        <w:rPr>
          <w:rFonts w:cs="Arial"/>
        </w:rPr>
        <w:t xml:space="preserve">reases in numbers of placements and is an area that is being kept closely under review. </w:t>
      </w:r>
    </w:p>
    <w:p w14:paraId="582F439B" w14:textId="77777777" w:rsidR="004C00D2" w:rsidRDefault="004C00D2" w:rsidP="00624737">
      <w:pPr>
        <w:pStyle w:val="ListParagraph"/>
        <w:spacing w:after="0"/>
        <w:ind w:left="502"/>
        <w:rPr>
          <w:rFonts w:cs="Arial"/>
        </w:rPr>
      </w:pPr>
    </w:p>
    <w:p w14:paraId="43EBD73F" w14:textId="311129AC" w:rsidR="00214ED1" w:rsidRDefault="004C00D2" w:rsidP="00214ED1">
      <w:pPr>
        <w:pStyle w:val="ListParagraph"/>
        <w:spacing w:after="0"/>
        <w:ind w:left="502"/>
        <w:rPr>
          <w:rFonts w:cs="Arial"/>
        </w:rPr>
      </w:pPr>
      <w:r>
        <w:rPr>
          <w:rFonts w:cs="Arial"/>
        </w:rPr>
        <w:t xml:space="preserve">The additional budget requirement </w:t>
      </w:r>
      <w:r w:rsidR="007D249C">
        <w:rPr>
          <w:rFonts w:cs="Arial"/>
        </w:rPr>
        <w:t xml:space="preserve">of £12.234m </w:t>
      </w:r>
      <w:r>
        <w:rPr>
          <w:rFonts w:cs="Arial"/>
        </w:rPr>
        <w:t>in 2017/1</w:t>
      </w:r>
      <w:r w:rsidR="007D249C">
        <w:rPr>
          <w:rFonts w:cs="Arial"/>
        </w:rPr>
        <w:t>8 for Children's Social is included within the revised MTFS</w:t>
      </w:r>
      <w:r>
        <w:rPr>
          <w:rFonts w:cs="Arial"/>
        </w:rPr>
        <w:t>. This reflects the overspend that is being reported as part of budget monitoring in 2016/17 and continues to anticipate a growing population of ch</w:t>
      </w:r>
      <w:r w:rsidR="007D249C">
        <w:rPr>
          <w:rFonts w:cs="Arial"/>
        </w:rPr>
        <w:t xml:space="preserve">ildren looked after in 2017/18 and beyond with an overall additional £13.238m included from 2017/18 – 2020/21. </w:t>
      </w:r>
    </w:p>
    <w:p w14:paraId="1CEAD053" w14:textId="77777777" w:rsidR="00214ED1" w:rsidRDefault="00214ED1" w:rsidP="00214ED1">
      <w:pPr>
        <w:pStyle w:val="ListParagraph"/>
        <w:spacing w:after="0"/>
        <w:ind w:left="502"/>
        <w:rPr>
          <w:rFonts w:cs="Arial"/>
        </w:rPr>
      </w:pPr>
    </w:p>
    <w:p w14:paraId="7746C0AA" w14:textId="6FDCADC6" w:rsidR="00214ED1" w:rsidRPr="00214ED1" w:rsidRDefault="00214ED1" w:rsidP="00214ED1">
      <w:pPr>
        <w:pStyle w:val="ListParagraph"/>
        <w:numPr>
          <w:ilvl w:val="0"/>
          <w:numId w:val="26"/>
        </w:numPr>
        <w:spacing w:after="0"/>
        <w:rPr>
          <w:rFonts w:cs="Arial"/>
        </w:rPr>
      </w:pPr>
      <w:r>
        <w:rPr>
          <w:rFonts w:cs="Arial"/>
        </w:rPr>
        <w:t xml:space="preserve">The revised MTFS for 2017/18 includes an additional £5.240m for Waste Services. This includes </w:t>
      </w:r>
      <w:r w:rsidRPr="001E433B">
        <w:rPr>
          <w:rFonts w:cs="Arial"/>
        </w:rPr>
        <w:t>£1.</w:t>
      </w:r>
      <w:r>
        <w:rPr>
          <w:rFonts w:cs="Arial"/>
        </w:rPr>
        <w:t>2</w:t>
      </w:r>
      <w:r w:rsidRPr="001E433B">
        <w:rPr>
          <w:rFonts w:cs="Arial"/>
        </w:rPr>
        <w:t xml:space="preserve">41m </w:t>
      </w:r>
      <w:r w:rsidR="007D249C">
        <w:rPr>
          <w:rFonts w:cs="Arial"/>
        </w:rPr>
        <w:t>which had incorrectly d</w:t>
      </w:r>
      <w:r>
        <w:rPr>
          <w:rFonts w:cs="Arial"/>
        </w:rPr>
        <w:t xml:space="preserve">ouble </w:t>
      </w:r>
      <w:r w:rsidR="007D249C">
        <w:rPr>
          <w:rFonts w:cs="Arial"/>
        </w:rPr>
        <w:t xml:space="preserve">counted a </w:t>
      </w:r>
      <w:r w:rsidR="00CF5DC0">
        <w:rPr>
          <w:rFonts w:cs="Arial"/>
        </w:rPr>
        <w:t>saving in</w:t>
      </w:r>
      <w:r w:rsidR="007D249C">
        <w:rPr>
          <w:rFonts w:cs="Arial"/>
        </w:rPr>
        <w:t xml:space="preserve"> the previous MTFS</w:t>
      </w:r>
      <w:r>
        <w:rPr>
          <w:rFonts w:cs="Arial"/>
        </w:rPr>
        <w:t xml:space="preserve">. In addition demand </w:t>
      </w:r>
      <w:r w:rsidRPr="001E433B">
        <w:rPr>
          <w:rFonts w:cs="Arial"/>
        </w:rPr>
        <w:t xml:space="preserve">assumptions made </w:t>
      </w:r>
      <w:r>
        <w:rPr>
          <w:rFonts w:cs="Arial"/>
        </w:rPr>
        <w:t>in</w:t>
      </w:r>
      <w:r w:rsidRPr="001E433B">
        <w:rPr>
          <w:rFonts w:cs="Arial"/>
        </w:rPr>
        <w:t xml:space="preserve"> the </w:t>
      </w:r>
      <w:r>
        <w:rPr>
          <w:rFonts w:cs="Arial"/>
        </w:rPr>
        <w:t xml:space="preserve">previous </w:t>
      </w:r>
      <w:r w:rsidRPr="001E433B">
        <w:rPr>
          <w:rFonts w:cs="Arial"/>
        </w:rPr>
        <w:t>MTFS</w:t>
      </w:r>
      <w:r>
        <w:rPr>
          <w:rFonts w:cs="Arial"/>
        </w:rPr>
        <w:t xml:space="preserve"> are estimated to be too low, therefore an additional £0.600m has been included to rectify the overspend position reported. The remaining requirement is due to </w:t>
      </w:r>
      <w:r w:rsidRPr="001E433B">
        <w:rPr>
          <w:rFonts w:cs="Arial"/>
        </w:rPr>
        <w:t xml:space="preserve">an increase in residual waste </w:t>
      </w:r>
      <w:proofErr w:type="spellStart"/>
      <w:r w:rsidRPr="001E433B">
        <w:rPr>
          <w:rFonts w:cs="Arial"/>
        </w:rPr>
        <w:t>arisings</w:t>
      </w:r>
      <w:proofErr w:type="spellEnd"/>
      <w:r w:rsidRPr="001E433B">
        <w:rPr>
          <w:rFonts w:cs="Arial"/>
        </w:rPr>
        <w:t xml:space="preserve"> </w:t>
      </w:r>
      <w:r>
        <w:rPr>
          <w:rFonts w:cs="Arial"/>
        </w:rPr>
        <w:t>with</w:t>
      </w:r>
      <w:r w:rsidR="009A29DA">
        <w:rPr>
          <w:rFonts w:cs="Arial"/>
        </w:rPr>
        <w:t xml:space="preserve"> 4% now</w:t>
      </w:r>
      <w:r w:rsidRPr="001E433B">
        <w:rPr>
          <w:rFonts w:cs="Arial"/>
        </w:rPr>
        <w:t xml:space="preserve"> being forecast (compa</w:t>
      </w:r>
      <w:r>
        <w:rPr>
          <w:rFonts w:cs="Arial"/>
        </w:rPr>
        <w:t xml:space="preserve">red to a previously assumed 1%) and some additional green waste costs. </w:t>
      </w:r>
    </w:p>
    <w:p w14:paraId="00FD68FF" w14:textId="77777777" w:rsidR="005C03EB" w:rsidRPr="005C03EB" w:rsidRDefault="005C03EB" w:rsidP="005C03EB">
      <w:pPr>
        <w:spacing w:after="0"/>
        <w:rPr>
          <w:rFonts w:cs="Arial"/>
        </w:rPr>
      </w:pPr>
    </w:p>
    <w:p w14:paraId="3C3CF46B" w14:textId="0A06C372" w:rsidR="000C0795" w:rsidRPr="00F10592" w:rsidRDefault="005A1497" w:rsidP="005C03EB">
      <w:pPr>
        <w:spacing w:after="0"/>
        <w:rPr>
          <w:rFonts w:cs="Arial"/>
          <w:b/>
        </w:rPr>
      </w:pPr>
      <w:r w:rsidRPr="00F10592">
        <w:rPr>
          <w:rFonts w:cs="Arial"/>
          <w:b/>
        </w:rPr>
        <w:t>3.4 Other</w:t>
      </w:r>
    </w:p>
    <w:p w14:paraId="0EEAEB37" w14:textId="77777777" w:rsidR="005A1497" w:rsidRDefault="005A1497" w:rsidP="005C03EB">
      <w:pPr>
        <w:spacing w:after="0"/>
        <w:rPr>
          <w:rFonts w:cs="Arial"/>
          <w:highlight w:val="yellow"/>
        </w:rPr>
      </w:pPr>
    </w:p>
    <w:p w14:paraId="2771BF7C" w14:textId="167B3BD8" w:rsidR="005A1497" w:rsidRPr="005A1497" w:rsidRDefault="005A1497" w:rsidP="005C03EB">
      <w:pPr>
        <w:spacing w:after="0"/>
      </w:pPr>
      <w:r>
        <w:t xml:space="preserve">This section contains adjustments that are required that do not predominantly fall into </w:t>
      </w:r>
      <w:r w:rsidRPr="005A1497">
        <w:t>any of the categories noted above. The total reduction of £</w:t>
      </w:r>
      <w:r w:rsidR="00957B05">
        <w:t>1.186</w:t>
      </w:r>
      <w:r w:rsidRPr="005A1497">
        <w:t>m is comprised of the following:</w:t>
      </w:r>
    </w:p>
    <w:p w14:paraId="12962AC5" w14:textId="77777777" w:rsidR="005A1497" w:rsidRPr="005A1497" w:rsidRDefault="005A1497" w:rsidP="00617AC0">
      <w:pPr>
        <w:spacing w:after="0"/>
      </w:pPr>
    </w:p>
    <w:p w14:paraId="65FAF8F9" w14:textId="484E7BCA" w:rsidR="005A1497" w:rsidRPr="005A1497" w:rsidRDefault="006B3273" w:rsidP="005A1497">
      <w:pPr>
        <w:pStyle w:val="ListParagraph"/>
        <w:numPr>
          <w:ilvl w:val="0"/>
          <w:numId w:val="32"/>
        </w:numPr>
        <w:spacing w:after="0"/>
        <w:rPr>
          <w:rFonts w:cs="Arial"/>
        </w:rPr>
      </w:pPr>
      <w:r>
        <w:lastRenderedPageBreak/>
        <w:t>A</w:t>
      </w:r>
      <w:r w:rsidR="005A1497" w:rsidRPr="005A1497">
        <w:t xml:space="preserve"> reduction</w:t>
      </w:r>
      <w:r>
        <w:t xml:space="preserve"> in the budget required for </w:t>
      </w:r>
      <w:r w:rsidR="005A1497" w:rsidRPr="005A1497">
        <w:t>of £1.140m in the P</w:t>
      </w:r>
      <w:r>
        <w:t>ublic and Integrated Transport due to charges being made to the schools block in relation to non-maintained special schools.</w:t>
      </w:r>
    </w:p>
    <w:p w14:paraId="16D004E2" w14:textId="34A4A9F0" w:rsidR="00214ED1" w:rsidRPr="007D249C" w:rsidRDefault="006B3273" w:rsidP="007D249C">
      <w:pPr>
        <w:pStyle w:val="ListParagraph"/>
        <w:numPr>
          <w:ilvl w:val="0"/>
          <w:numId w:val="32"/>
        </w:numPr>
        <w:spacing w:after="0"/>
        <w:rPr>
          <w:rFonts w:cs="Arial"/>
        </w:rPr>
      </w:pPr>
      <w:r>
        <w:t>R</w:t>
      </w:r>
      <w:r w:rsidR="005A1497" w:rsidRPr="005A1497">
        <w:t xml:space="preserve">e-phasing of the income expected from </w:t>
      </w:r>
      <w:r w:rsidR="007D249C">
        <w:t xml:space="preserve">Working Together with Families Grant. </w:t>
      </w:r>
      <w:r w:rsidR="005A1497" w:rsidRPr="005A1497">
        <w:t xml:space="preserve"> </w:t>
      </w:r>
    </w:p>
    <w:p w14:paraId="557C7F7D" w14:textId="77777777" w:rsidR="005A1497" w:rsidRPr="005A1497" w:rsidRDefault="005A1497" w:rsidP="005A1497">
      <w:pPr>
        <w:pStyle w:val="ListParagraph"/>
        <w:spacing w:after="0"/>
        <w:rPr>
          <w:rFonts w:cs="Arial"/>
        </w:rPr>
      </w:pPr>
    </w:p>
    <w:p w14:paraId="09796FC9" w14:textId="77777777" w:rsidR="00F53647" w:rsidRPr="005A1497" w:rsidRDefault="00F53647" w:rsidP="00617AC0">
      <w:pPr>
        <w:tabs>
          <w:tab w:val="left" w:pos="567"/>
          <w:tab w:val="left" w:pos="1134"/>
        </w:tabs>
        <w:spacing w:after="0"/>
        <w:rPr>
          <w:rFonts w:cs="Arial"/>
          <w:b/>
        </w:rPr>
      </w:pPr>
      <w:r w:rsidRPr="005A1497">
        <w:rPr>
          <w:rFonts w:cs="Arial"/>
          <w:b/>
        </w:rPr>
        <w:t>3.5 Loss of specific grant</w:t>
      </w:r>
    </w:p>
    <w:p w14:paraId="12C22D5E" w14:textId="77777777" w:rsidR="00F53647" w:rsidRPr="00666242" w:rsidRDefault="00F53647" w:rsidP="00617AC0">
      <w:pPr>
        <w:tabs>
          <w:tab w:val="left" w:pos="567"/>
          <w:tab w:val="left" w:pos="1134"/>
        </w:tabs>
        <w:spacing w:after="0"/>
        <w:rPr>
          <w:rFonts w:cs="Arial"/>
          <w:b/>
          <w:highlight w:val="yellow"/>
        </w:rPr>
      </w:pPr>
    </w:p>
    <w:p w14:paraId="173D1460" w14:textId="77EAFECF" w:rsidR="00326455" w:rsidRPr="006B3273" w:rsidRDefault="00F53647" w:rsidP="006B3273">
      <w:pPr>
        <w:tabs>
          <w:tab w:val="left" w:pos="567"/>
          <w:tab w:val="left" w:pos="1134"/>
        </w:tabs>
        <w:spacing w:after="0"/>
        <w:rPr>
          <w:rFonts w:cs="Arial"/>
        </w:rPr>
      </w:pPr>
      <w:r w:rsidRPr="006B3273">
        <w:rPr>
          <w:rFonts w:cs="Arial"/>
        </w:rPr>
        <w:t>The County Council receives various grants which are specific and form part of the net expenditure pressures rather than the general resources of the au</w:t>
      </w:r>
      <w:r w:rsidR="006B3273" w:rsidRPr="006B3273">
        <w:rPr>
          <w:rFonts w:cs="Arial"/>
        </w:rPr>
        <w:t>thority referred to in section 2</w:t>
      </w:r>
      <w:r w:rsidRPr="006B3273">
        <w:rPr>
          <w:rFonts w:cs="Arial"/>
        </w:rPr>
        <w:t xml:space="preserve"> above. The County Council was subject to an in-year reduction to the Public Health Grant of £4.3m in 2015/16</w:t>
      </w:r>
      <w:r w:rsidR="006B3273" w:rsidRPr="006B3273">
        <w:rPr>
          <w:rFonts w:cs="Arial"/>
        </w:rPr>
        <w:t xml:space="preserve"> with a further reduction now confirmed in 2016/17 and reported as part of budget monitoring. </w:t>
      </w:r>
      <w:r w:rsidR="00326455" w:rsidRPr="006B3273">
        <w:rPr>
          <w:rFonts w:cs="Arial"/>
        </w:rPr>
        <w:t>I</w:t>
      </w:r>
      <w:r w:rsidRPr="006B3273">
        <w:rPr>
          <w:rFonts w:cs="Arial"/>
        </w:rPr>
        <w:t xml:space="preserve">t </w:t>
      </w:r>
      <w:r w:rsidR="00426492">
        <w:rPr>
          <w:rFonts w:cs="Arial"/>
        </w:rPr>
        <w:t>is</w:t>
      </w:r>
      <w:r w:rsidRPr="006B3273">
        <w:rPr>
          <w:rFonts w:cs="Arial"/>
        </w:rPr>
        <w:t xml:space="preserve"> anticipated that th</w:t>
      </w:r>
      <w:r w:rsidR="00326455" w:rsidRPr="006B3273">
        <w:rPr>
          <w:rFonts w:cs="Arial"/>
        </w:rPr>
        <w:t>is</w:t>
      </w:r>
      <w:r w:rsidRPr="006B3273">
        <w:rPr>
          <w:rFonts w:cs="Arial"/>
        </w:rPr>
        <w:t xml:space="preserve"> will be a continuing reduction</w:t>
      </w:r>
      <w:r w:rsidR="00326455" w:rsidRPr="006B3273">
        <w:rPr>
          <w:rFonts w:cs="Arial"/>
        </w:rPr>
        <w:t xml:space="preserve"> and </w:t>
      </w:r>
      <w:r w:rsidR="006B3273" w:rsidRPr="006B3273">
        <w:rPr>
          <w:rFonts w:cs="Arial"/>
        </w:rPr>
        <w:t>has been revised for this MTFS</w:t>
      </w:r>
      <w:r w:rsidR="00326455" w:rsidRPr="006B3273">
        <w:rPr>
          <w:rFonts w:cs="Arial"/>
        </w:rPr>
        <w:t>.</w:t>
      </w:r>
    </w:p>
    <w:p w14:paraId="1D435A21" w14:textId="77777777" w:rsidR="00326455" w:rsidRPr="006B3273" w:rsidRDefault="00326455" w:rsidP="00617AC0">
      <w:pPr>
        <w:autoSpaceDE/>
        <w:autoSpaceDN/>
        <w:adjustRightInd/>
        <w:spacing w:after="0"/>
        <w:rPr>
          <w:rFonts w:cs="Arial"/>
        </w:rPr>
      </w:pPr>
    </w:p>
    <w:p w14:paraId="3BE560C1" w14:textId="77777777" w:rsidR="00326455" w:rsidRPr="006B3273" w:rsidRDefault="00326455" w:rsidP="00617AC0">
      <w:pPr>
        <w:tabs>
          <w:tab w:val="left" w:pos="567"/>
          <w:tab w:val="left" w:pos="1134"/>
        </w:tabs>
        <w:spacing w:after="0"/>
        <w:rPr>
          <w:rFonts w:cs="Arial"/>
          <w:b/>
        </w:rPr>
      </w:pPr>
      <w:r w:rsidRPr="006B3273">
        <w:rPr>
          <w:rFonts w:cs="Arial"/>
          <w:b/>
        </w:rPr>
        <w:t>3.6 Savings and Cabinet Decisions</w:t>
      </w:r>
    </w:p>
    <w:p w14:paraId="69BDB1DD" w14:textId="77777777" w:rsidR="00326455" w:rsidRPr="006B3273" w:rsidRDefault="00326455" w:rsidP="00617AC0">
      <w:pPr>
        <w:tabs>
          <w:tab w:val="left" w:pos="567"/>
          <w:tab w:val="left" w:pos="1134"/>
        </w:tabs>
        <w:spacing w:after="0"/>
        <w:rPr>
          <w:rFonts w:cs="Arial"/>
          <w:b/>
        </w:rPr>
      </w:pPr>
    </w:p>
    <w:p w14:paraId="5DCF2571" w14:textId="7F413834" w:rsidR="00214ED1" w:rsidRPr="00214ED1" w:rsidRDefault="00326455" w:rsidP="006B3273">
      <w:pPr>
        <w:tabs>
          <w:tab w:val="left" w:pos="567"/>
          <w:tab w:val="left" w:pos="1134"/>
        </w:tabs>
        <w:spacing w:after="0"/>
        <w:rPr>
          <w:rFonts w:cs="Arial"/>
        </w:rPr>
      </w:pPr>
      <w:r w:rsidRPr="006B3273">
        <w:rPr>
          <w:rFonts w:cs="Arial"/>
        </w:rPr>
        <w:t xml:space="preserve">The savings to be achieved are constantly under review. </w:t>
      </w:r>
      <w:r w:rsidR="006B3273">
        <w:rPr>
          <w:rFonts w:cs="Arial"/>
        </w:rPr>
        <w:t>This has resulted in</w:t>
      </w:r>
      <w:r w:rsidR="00426492">
        <w:rPr>
          <w:rFonts w:cs="Arial"/>
        </w:rPr>
        <w:t xml:space="preserve"> some savings plans being identified as now not being fully deliverable, most significantly public</w:t>
      </w:r>
      <w:r w:rsidR="007D249C">
        <w:rPr>
          <w:rFonts w:cs="Arial"/>
        </w:rPr>
        <w:t xml:space="preserve"> and Integrated Transport whereby £0.493m of </w:t>
      </w:r>
      <w:r w:rsidR="00CF5DC0">
        <w:rPr>
          <w:rFonts w:cs="Arial"/>
        </w:rPr>
        <w:t>the £</w:t>
      </w:r>
      <w:r w:rsidR="00AA20AC">
        <w:rPr>
          <w:rFonts w:cs="Arial"/>
        </w:rPr>
        <w:t>2.499m agreed saving</w:t>
      </w:r>
      <w:r w:rsidR="00426492">
        <w:rPr>
          <w:rFonts w:cs="Arial"/>
        </w:rPr>
        <w:t xml:space="preserve"> for transport to day centres</w:t>
      </w:r>
      <w:r w:rsidR="00AA20AC">
        <w:rPr>
          <w:rFonts w:cs="Arial"/>
        </w:rPr>
        <w:t xml:space="preserve"> cannot be delivered. </w:t>
      </w:r>
    </w:p>
    <w:p w14:paraId="7D9B0704" w14:textId="77777777" w:rsidR="00757FB9" w:rsidRPr="00666242" w:rsidRDefault="00757FB9" w:rsidP="008D5D96">
      <w:pPr>
        <w:tabs>
          <w:tab w:val="left" w:pos="567"/>
          <w:tab w:val="left" w:pos="1134"/>
        </w:tabs>
        <w:spacing w:after="0"/>
        <w:rPr>
          <w:rFonts w:cs="Arial"/>
          <w:b/>
          <w:highlight w:val="yellow"/>
        </w:rPr>
      </w:pPr>
    </w:p>
    <w:p w14:paraId="3F692960" w14:textId="77777777" w:rsidR="00194D1E" w:rsidRPr="00D3438A" w:rsidRDefault="004D3311" w:rsidP="008D5D96">
      <w:pPr>
        <w:tabs>
          <w:tab w:val="left" w:pos="567"/>
          <w:tab w:val="left" w:pos="1134"/>
        </w:tabs>
        <w:spacing w:after="0"/>
        <w:rPr>
          <w:rFonts w:cs="Arial"/>
          <w:b/>
        </w:rPr>
      </w:pPr>
      <w:r w:rsidRPr="00D3438A">
        <w:rPr>
          <w:rFonts w:cs="Arial"/>
          <w:b/>
        </w:rPr>
        <w:t>4</w:t>
      </w:r>
      <w:r w:rsidR="00EB3E0F" w:rsidRPr="00D3438A">
        <w:rPr>
          <w:rFonts w:cs="Arial"/>
          <w:b/>
        </w:rPr>
        <w:t>.</w:t>
      </w:r>
      <w:r w:rsidR="00EB3E0F" w:rsidRPr="00D3438A">
        <w:rPr>
          <w:rFonts w:cs="Arial"/>
          <w:b/>
        </w:rPr>
        <w:tab/>
        <w:t>Future Risks</w:t>
      </w:r>
      <w:r w:rsidR="00064B2E" w:rsidRPr="00D3438A">
        <w:rPr>
          <w:rFonts w:cs="Arial"/>
          <w:b/>
        </w:rPr>
        <w:t xml:space="preserve"> </w:t>
      </w:r>
    </w:p>
    <w:p w14:paraId="40652AB5" w14:textId="77777777" w:rsidR="000C0795" w:rsidRPr="00D3438A" w:rsidRDefault="000C0795" w:rsidP="008D5D96">
      <w:pPr>
        <w:tabs>
          <w:tab w:val="left" w:pos="567"/>
          <w:tab w:val="left" w:pos="1134"/>
        </w:tabs>
        <w:spacing w:after="0"/>
        <w:rPr>
          <w:rFonts w:cs="Arial"/>
          <w:b/>
        </w:rPr>
      </w:pPr>
    </w:p>
    <w:p w14:paraId="04242BA3" w14:textId="2FB9C5DD" w:rsidR="00194D1E" w:rsidRPr="00D3438A" w:rsidRDefault="00E3540A" w:rsidP="00194D1E">
      <w:pPr>
        <w:tabs>
          <w:tab w:val="left" w:pos="567"/>
          <w:tab w:val="left" w:pos="1134"/>
        </w:tabs>
        <w:spacing w:after="0"/>
        <w:rPr>
          <w:rFonts w:cs="Arial"/>
        </w:rPr>
      </w:pPr>
      <w:r w:rsidRPr="00D3438A">
        <w:rPr>
          <w:rFonts w:cs="Arial"/>
        </w:rPr>
        <w:t>In addition to the economic uncertainty post-Brexit outlined earlier in the report, t</w:t>
      </w:r>
      <w:r w:rsidR="00194D1E" w:rsidRPr="00D3438A">
        <w:rPr>
          <w:rFonts w:cs="Arial"/>
        </w:rPr>
        <w:t xml:space="preserve">he following are key future risks, the full impact of which is not </w:t>
      </w:r>
      <w:r w:rsidR="00BD7FC9" w:rsidRPr="00D3438A">
        <w:rPr>
          <w:rFonts w:cs="Arial"/>
        </w:rPr>
        <w:t xml:space="preserve">yet </w:t>
      </w:r>
      <w:r w:rsidR="00194D1E" w:rsidRPr="00D3438A">
        <w:rPr>
          <w:rFonts w:cs="Arial"/>
        </w:rPr>
        <w:t>known at this stage:</w:t>
      </w:r>
    </w:p>
    <w:p w14:paraId="4DA4BD6F" w14:textId="77777777" w:rsidR="00FB7968" w:rsidRPr="00B1743E" w:rsidRDefault="00FB7968" w:rsidP="00194D1E">
      <w:pPr>
        <w:tabs>
          <w:tab w:val="left" w:pos="567"/>
          <w:tab w:val="left" w:pos="1134"/>
        </w:tabs>
        <w:spacing w:after="0"/>
        <w:rPr>
          <w:rFonts w:cs="Arial"/>
        </w:rPr>
      </w:pPr>
    </w:p>
    <w:p w14:paraId="5C103DB7" w14:textId="6BFD6A4F" w:rsidR="004C52A6" w:rsidRPr="00B1743E" w:rsidRDefault="004C52A6" w:rsidP="00194D1E">
      <w:pPr>
        <w:tabs>
          <w:tab w:val="left" w:pos="567"/>
          <w:tab w:val="left" w:pos="1134"/>
        </w:tabs>
        <w:spacing w:after="0"/>
        <w:rPr>
          <w:rFonts w:cs="Arial"/>
          <w:b/>
        </w:rPr>
      </w:pPr>
      <w:r w:rsidRPr="00B1743E">
        <w:rPr>
          <w:rFonts w:cs="Arial"/>
          <w:b/>
        </w:rPr>
        <w:t xml:space="preserve">4.1 </w:t>
      </w:r>
      <w:r w:rsidR="00FB7968" w:rsidRPr="00B1743E">
        <w:rPr>
          <w:rFonts w:cs="Arial"/>
          <w:b/>
        </w:rPr>
        <w:t>Agreed Savings Plans Delivery</w:t>
      </w:r>
    </w:p>
    <w:p w14:paraId="09F50FCD" w14:textId="77777777" w:rsidR="00B1743E" w:rsidRDefault="00B1743E" w:rsidP="00B1743E">
      <w:pPr>
        <w:pStyle w:val="PlainText"/>
        <w:rPr>
          <w:rFonts w:ascii="Arial" w:hAnsi="Arial" w:cs="Arial"/>
          <w:sz w:val="24"/>
          <w:szCs w:val="24"/>
        </w:rPr>
      </w:pPr>
    </w:p>
    <w:p w14:paraId="04556D43" w14:textId="77777777" w:rsidR="00B1743E" w:rsidRDefault="00B1743E" w:rsidP="00B1743E">
      <w:pPr>
        <w:pStyle w:val="PlainText"/>
        <w:rPr>
          <w:rFonts w:eastAsiaTheme="minorHAnsi" w:cstheme="minorBidi"/>
          <w:color w:val="auto"/>
          <w:sz w:val="22"/>
        </w:rPr>
      </w:pPr>
      <w:r w:rsidRPr="00B1743E">
        <w:rPr>
          <w:rFonts w:ascii="Arial" w:hAnsi="Arial" w:cs="Arial"/>
          <w:sz w:val="24"/>
          <w:szCs w:val="24"/>
        </w:rPr>
        <w:t>The scale of agreed savings is hugely significant given both the scale and areas covered, and there are inherent risks in their delivery.  Any significant under-delivery of agreed savings will create an additional funding gap and impact on the ongoing and longer-term financial health of the Council.  This has been identified as one of the highest level risks in the Risk and Opportunity Register.  There are comprehensive arrangements in place to track delivery of financial savings and take corrective actions where required.</w:t>
      </w:r>
    </w:p>
    <w:p w14:paraId="00A72596" w14:textId="77777777" w:rsidR="00FB7968" w:rsidRDefault="00FB7968" w:rsidP="00194D1E">
      <w:pPr>
        <w:tabs>
          <w:tab w:val="left" w:pos="567"/>
          <w:tab w:val="left" w:pos="1134"/>
        </w:tabs>
        <w:spacing w:after="0"/>
        <w:rPr>
          <w:rFonts w:cs="Arial"/>
          <w:highlight w:val="yellow"/>
        </w:rPr>
      </w:pPr>
    </w:p>
    <w:p w14:paraId="2759A1AB" w14:textId="37D8E858" w:rsidR="00FB7968" w:rsidRPr="00B1743E" w:rsidRDefault="004C52A6" w:rsidP="00194D1E">
      <w:pPr>
        <w:tabs>
          <w:tab w:val="left" w:pos="567"/>
          <w:tab w:val="left" w:pos="1134"/>
        </w:tabs>
        <w:spacing w:after="0"/>
        <w:rPr>
          <w:rFonts w:cs="Arial"/>
          <w:b/>
        </w:rPr>
      </w:pPr>
      <w:r w:rsidRPr="00B1743E">
        <w:rPr>
          <w:rFonts w:cs="Arial"/>
          <w:b/>
        </w:rPr>
        <w:t xml:space="preserve">4.2 </w:t>
      </w:r>
      <w:r w:rsidR="00FB7968" w:rsidRPr="00B1743E">
        <w:rPr>
          <w:rFonts w:cs="Arial"/>
          <w:b/>
        </w:rPr>
        <w:t>Identification of Further Savings Opportunities</w:t>
      </w:r>
    </w:p>
    <w:p w14:paraId="349BDD1D" w14:textId="77777777" w:rsidR="00FB7968" w:rsidRDefault="00FB7968" w:rsidP="00194D1E">
      <w:pPr>
        <w:tabs>
          <w:tab w:val="left" w:pos="567"/>
          <w:tab w:val="left" w:pos="1134"/>
        </w:tabs>
        <w:spacing w:after="0"/>
        <w:rPr>
          <w:rFonts w:cs="Arial"/>
          <w:highlight w:val="yellow"/>
        </w:rPr>
      </w:pPr>
    </w:p>
    <w:p w14:paraId="4F9A429F" w14:textId="77777777" w:rsidR="00B1743E" w:rsidRDefault="00B1743E" w:rsidP="00B1743E">
      <w:pPr>
        <w:tabs>
          <w:tab w:val="left" w:pos="567"/>
          <w:tab w:val="left" w:pos="1134"/>
        </w:tabs>
        <w:spacing w:after="0"/>
        <w:rPr>
          <w:rFonts w:cs="Arial"/>
        </w:rPr>
      </w:pPr>
      <w:r w:rsidRPr="00B1743E">
        <w:rPr>
          <w:rFonts w:cs="Arial"/>
        </w:rPr>
        <w:t>Cabinet has agreed a financial strategy based on:</w:t>
      </w:r>
    </w:p>
    <w:p w14:paraId="08AF69BF" w14:textId="77777777" w:rsidR="00B1743E" w:rsidRPr="00B1743E" w:rsidRDefault="00B1743E" w:rsidP="00B1743E">
      <w:pPr>
        <w:tabs>
          <w:tab w:val="left" w:pos="567"/>
          <w:tab w:val="left" w:pos="1134"/>
        </w:tabs>
        <w:spacing w:after="0"/>
        <w:rPr>
          <w:rFonts w:cs="Arial"/>
        </w:rPr>
      </w:pPr>
    </w:p>
    <w:p w14:paraId="538DEE0E" w14:textId="62A5AB74" w:rsidR="00B1743E" w:rsidRDefault="00B1743E" w:rsidP="00B1743E">
      <w:pPr>
        <w:pStyle w:val="ListParagraph"/>
        <w:numPr>
          <w:ilvl w:val="0"/>
          <w:numId w:val="33"/>
        </w:numPr>
        <w:tabs>
          <w:tab w:val="left" w:pos="567"/>
          <w:tab w:val="left" w:pos="1134"/>
        </w:tabs>
        <w:spacing w:after="0"/>
        <w:ind w:left="567"/>
        <w:rPr>
          <w:rFonts w:cs="Arial"/>
        </w:rPr>
      </w:pPr>
      <w:r w:rsidRPr="00B1743E">
        <w:rPr>
          <w:rFonts w:cs="Arial"/>
        </w:rPr>
        <w:t>Setting an expenditure target for service expenditure levels to move in line with the lower quartile of the most appropriate group of local authorities for individual services.</w:t>
      </w:r>
    </w:p>
    <w:p w14:paraId="4C786761" w14:textId="77777777" w:rsidR="00B1743E" w:rsidRDefault="00B1743E" w:rsidP="00B1743E">
      <w:pPr>
        <w:pStyle w:val="ListParagraph"/>
        <w:tabs>
          <w:tab w:val="left" w:pos="567"/>
          <w:tab w:val="left" w:pos="1134"/>
        </w:tabs>
        <w:spacing w:after="0"/>
        <w:rPr>
          <w:rFonts w:cs="Arial"/>
        </w:rPr>
      </w:pPr>
    </w:p>
    <w:p w14:paraId="095B97DD" w14:textId="2826CB2F" w:rsidR="00B1743E" w:rsidRDefault="00B1743E" w:rsidP="00B1743E">
      <w:pPr>
        <w:pStyle w:val="ListParagraph"/>
        <w:numPr>
          <w:ilvl w:val="0"/>
          <w:numId w:val="33"/>
        </w:numPr>
        <w:tabs>
          <w:tab w:val="left" w:pos="567"/>
          <w:tab w:val="left" w:pos="1134"/>
        </w:tabs>
        <w:spacing w:after="0"/>
        <w:ind w:left="567"/>
        <w:rPr>
          <w:rFonts w:cs="Arial"/>
        </w:rPr>
      </w:pPr>
      <w:r>
        <w:rPr>
          <w:rFonts w:cs="Arial"/>
        </w:rPr>
        <w:t>S</w:t>
      </w:r>
      <w:r w:rsidRPr="00B1743E">
        <w:rPr>
          <w:rFonts w:cs="Arial"/>
        </w:rPr>
        <w:t>tage 3 of the base budget review being the zero base with a fundamental review of all expenditure within services to ensure the best value for money.  Work is progressing on identifying the scope for further savings opportunities.</w:t>
      </w:r>
    </w:p>
    <w:p w14:paraId="00578A92" w14:textId="77777777" w:rsidR="00B1743E" w:rsidRPr="00B1743E" w:rsidRDefault="00B1743E" w:rsidP="00B1743E">
      <w:pPr>
        <w:pStyle w:val="ListParagraph"/>
        <w:rPr>
          <w:rFonts w:cs="Arial"/>
        </w:rPr>
      </w:pPr>
    </w:p>
    <w:p w14:paraId="19DDAD10" w14:textId="4F2220D4" w:rsidR="00B1743E" w:rsidRDefault="00B1743E" w:rsidP="00B1743E">
      <w:pPr>
        <w:pStyle w:val="ListParagraph"/>
        <w:numPr>
          <w:ilvl w:val="0"/>
          <w:numId w:val="33"/>
        </w:numPr>
        <w:tabs>
          <w:tab w:val="left" w:pos="567"/>
          <w:tab w:val="left" w:pos="1134"/>
        </w:tabs>
        <w:spacing w:after="0"/>
        <w:ind w:left="567"/>
        <w:rPr>
          <w:rFonts w:cs="Arial"/>
        </w:rPr>
      </w:pPr>
      <w:r>
        <w:rPr>
          <w:rFonts w:cs="Arial"/>
        </w:rPr>
        <w:lastRenderedPageBreak/>
        <w:t>E</w:t>
      </w:r>
      <w:r w:rsidRPr="00B1743E">
        <w:rPr>
          <w:rFonts w:cs="Arial"/>
        </w:rPr>
        <w:t>xternal consultants have been appointed to assist the council in scoping and undertaking the review of its operating model.   A key element of this is the development of a public services operating model for the County Council to enable it to be sustainable within its forecast financial resource envelope by 2020/21.</w:t>
      </w:r>
    </w:p>
    <w:p w14:paraId="4C1CF66C" w14:textId="77777777" w:rsidR="00B1743E" w:rsidRPr="00B1743E" w:rsidRDefault="00B1743E" w:rsidP="00B1743E">
      <w:pPr>
        <w:pStyle w:val="ListParagraph"/>
        <w:rPr>
          <w:rFonts w:cs="Arial"/>
        </w:rPr>
      </w:pPr>
    </w:p>
    <w:p w14:paraId="196BD5E2" w14:textId="7937D936" w:rsidR="00B1743E" w:rsidRDefault="00B1743E" w:rsidP="00B1743E">
      <w:pPr>
        <w:pStyle w:val="ListParagraph"/>
        <w:numPr>
          <w:ilvl w:val="0"/>
          <w:numId w:val="33"/>
        </w:numPr>
        <w:tabs>
          <w:tab w:val="left" w:pos="567"/>
          <w:tab w:val="left" w:pos="1134"/>
        </w:tabs>
        <w:spacing w:after="0"/>
        <w:ind w:left="567"/>
        <w:rPr>
          <w:rFonts w:cs="Arial"/>
        </w:rPr>
      </w:pPr>
      <w:r>
        <w:rPr>
          <w:rFonts w:cs="Arial"/>
        </w:rPr>
        <w:t>T</w:t>
      </w:r>
      <w:r w:rsidRPr="00B1743E">
        <w:rPr>
          <w:rFonts w:cs="Arial"/>
        </w:rPr>
        <w:t>ransformational work across Adult Social Care aimed at both improving systems and processes and delivering significant financial savings.  Work is well progressed on identifying the overall scale and phasing of benefits from the review.</w:t>
      </w:r>
    </w:p>
    <w:p w14:paraId="6E94DCA2" w14:textId="77777777" w:rsidR="00B1743E" w:rsidRPr="00B1743E" w:rsidRDefault="00B1743E" w:rsidP="00B1743E">
      <w:pPr>
        <w:tabs>
          <w:tab w:val="left" w:pos="567"/>
          <w:tab w:val="left" w:pos="1134"/>
        </w:tabs>
        <w:spacing w:after="0"/>
        <w:rPr>
          <w:rFonts w:cs="Arial"/>
        </w:rPr>
      </w:pPr>
    </w:p>
    <w:p w14:paraId="3DFB99E4" w14:textId="17563FAE" w:rsidR="00FB7968" w:rsidRPr="00B1743E" w:rsidRDefault="004C52A6" w:rsidP="00194D1E">
      <w:pPr>
        <w:tabs>
          <w:tab w:val="left" w:pos="567"/>
          <w:tab w:val="left" w:pos="1134"/>
        </w:tabs>
        <w:spacing w:after="0"/>
        <w:rPr>
          <w:rFonts w:cs="Arial"/>
          <w:b/>
        </w:rPr>
      </w:pPr>
      <w:r w:rsidRPr="00B1743E">
        <w:rPr>
          <w:rFonts w:cs="Arial"/>
          <w:b/>
        </w:rPr>
        <w:t xml:space="preserve">4.3 </w:t>
      </w:r>
      <w:r w:rsidR="00FB7968" w:rsidRPr="00B1743E">
        <w:rPr>
          <w:rFonts w:cs="Arial"/>
          <w:b/>
        </w:rPr>
        <w:t xml:space="preserve">Business Rates Retention / Changes to </w:t>
      </w:r>
      <w:r w:rsidR="00E3540A" w:rsidRPr="00B1743E">
        <w:rPr>
          <w:rFonts w:cs="Arial"/>
          <w:b/>
        </w:rPr>
        <w:t>Funding Formula</w:t>
      </w:r>
    </w:p>
    <w:p w14:paraId="043A4B32" w14:textId="77777777" w:rsidR="00B1743E" w:rsidRDefault="00B1743E" w:rsidP="00194D1E">
      <w:pPr>
        <w:tabs>
          <w:tab w:val="left" w:pos="567"/>
          <w:tab w:val="left" w:pos="1134"/>
        </w:tabs>
        <w:spacing w:after="0"/>
        <w:rPr>
          <w:rFonts w:cs="Arial"/>
          <w:b/>
          <w:highlight w:val="yellow"/>
        </w:rPr>
      </w:pPr>
    </w:p>
    <w:p w14:paraId="31786727" w14:textId="2314B877" w:rsidR="00B1743E" w:rsidRPr="00B1743E" w:rsidRDefault="00B1743E" w:rsidP="00B1743E">
      <w:pPr>
        <w:tabs>
          <w:tab w:val="left" w:pos="567"/>
          <w:tab w:val="left" w:pos="1134"/>
        </w:tabs>
        <w:spacing w:after="0"/>
        <w:rPr>
          <w:rFonts w:cs="Arial"/>
        </w:rPr>
      </w:pPr>
      <w:r w:rsidRPr="00B1743E">
        <w:rPr>
          <w:rFonts w:cs="Arial"/>
        </w:rPr>
        <w:t>In 2015 the Chancellor announced that local government as a whole would be able to keep 100% of business rates by 2020.  Using Office for Budget Responsibility (OBR) forecasts the Government has estimated that additional business rates kept by councils will be c£13bn by 2020/21 with the intention to transfer new responsibilities to local government to ensure cost neutrality overall of the funding changes.  There is currently a system of redistribution (top-ups and tariffs) to reflect there are councils with relatively higher needs but lower income from business rates and vice versa.  The Secretary of State for Communities and Local Government has also announced a full review of needs and redistribution which will be use as the starting point for the new system when it comes into force.  The County Council currently receives a top-up grant, primarily as a result of having Adult Social Care responsibilities, and there is insufficient information currently, although work is progressing nationally with a consultation regarding the changes underway, to model what the financial impact of the changes will be and the financial impact on the County Council.</w:t>
      </w:r>
    </w:p>
    <w:p w14:paraId="1B88044C" w14:textId="77777777" w:rsidR="00E3540A" w:rsidRDefault="00E3540A" w:rsidP="00194D1E">
      <w:pPr>
        <w:tabs>
          <w:tab w:val="left" w:pos="567"/>
          <w:tab w:val="left" w:pos="1134"/>
        </w:tabs>
        <w:spacing w:after="0"/>
        <w:rPr>
          <w:rFonts w:cs="Arial"/>
          <w:highlight w:val="yellow"/>
        </w:rPr>
      </w:pPr>
    </w:p>
    <w:p w14:paraId="0AD43E59" w14:textId="62D5A32B" w:rsidR="00E3540A" w:rsidRPr="00B1743E" w:rsidRDefault="004C52A6" w:rsidP="00194D1E">
      <w:pPr>
        <w:tabs>
          <w:tab w:val="left" w:pos="567"/>
          <w:tab w:val="left" w:pos="1134"/>
        </w:tabs>
        <w:spacing w:after="0"/>
        <w:rPr>
          <w:rFonts w:cs="Arial"/>
          <w:b/>
        </w:rPr>
      </w:pPr>
      <w:r w:rsidRPr="00B1743E">
        <w:rPr>
          <w:rFonts w:cs="Arial"/>
          <w:b/>
        </w:rPr>
        <w:t xml:space="preserve">4.4 </w:t>
      </w:r>
      <w:r w:rsidR="00E3540A" w:rsidRPr="00B1743E">
        <w:rPr>
          <w:rFonts w:cs="Arial"/>
          <w:b/>
        </w:rPr>
        <w:t>STP</w:t>
      </w:r>
    </w:p>
    <w:p w14:paraId="27DC5019" w14:textId="77777777" w:rsidR="00FB7968" w:rsidRDefault="00FB7968" w:rsidP="00194D1E">
      <w:pPr>
        <w:tabs>
          <w:tab w:val="left" w:pos="567"/>
          <w:tab w:val="left" w:pos="1134"/>
        </w:tabs>
        <w:spacing w:after="0"/>
        <w:rPr>
          <w:rFonts w:cs="Arial"/>
          <w:highlight w:val="yellow"/>
        </w:rPr>
      </w:pPr>
    </w:p>
    <w:p w14:paraId="4CE36E62" w14:textId="2BD36BBC" w:rsidR="00B1743E" w:rsidRPr="00B1743E" w:rsidRDefault="00B1743E" w:rsidP="00B1743E">
      <w:pPr>
        <w:tabs>
          <w:tab w:val="left" w:pos="567"/>
          <w:tab w:val="left" w:pos="1134"/>
        </w:tabs>
        <w:spacing w:after="0"/>
        <w:rPr>
          <w:rFonts w:cs="Arial"/>
        </w:rPr>
      </w:pPr>
      <w:r w:rsidRPr="00B1743E">
        <w:rPr>
          <w:rFonts w:cs="Arial"/>
        </w:rPr>
        <w:t>Since 2015 the County Council has been a partner organisation in the Bette</w:t>
      </w:r>
      <w:r w:rsidR="00A844AF">
        <w:rPr>
          <w:rFonts w:cs="Arial"/>
        </w:rPr>
        <w:t>r Care Fund planning and pooled budget</w:t>
      </w:r>
      <w:r w:rsidRPr="00B1743E">
        <w:rPr>
          <w:rFonts w:cs="Arial"/>
        </w:rPr>
        <w:t xml:space="preserve"> arrangements with Clinical Commissioning Groups (CCG's).  Building on this is the requirement for every part of the NHS to have a locally led Sustainability and Transformation Plan (STP) in place by 2017.  This is within the context of the substantial financial challenges for the health and social care system in Lancashire and will necessarily involve the development of new delivery models and ways of </w:t>
      </w:r>
      <w:r>
        <w:rPr>
          <w:rFonts w:cs="Arial"/>
        </w:rPr>
        <w:t>working to minimise the impact of</w:t>
      </w:r>
      <w:r w:rsidRPr="00B1743E">
        <w:rPr>
          <w:rFonts w:cs="Arial"/>
        </w:rPr>
        <w:t xml:space="preserve"> funding reductions and provide a better offer for patients and service users.</w:t>
      </w:r>
    </w:p>
    <w:p w14:paraId="13638DD9" w14:textId="77777777" w:rsidR="00B1743E" w:rsidRPr="00666242" w:rsidRDefault="00B1743E" w:rsidP="00194D1E">
      <w:pPr>
        <w:tabs>
          <w:tab w:val="left" w:pos="567"/>
          <w:tab w:val="left" w:pos="1134"/>
        </w:tabs>
        <w:spacing w:after="0"/>
        <w:rPr>
          <w:rFonts w:cs="Arial"/>
          <w:highlight w:val="yellow"/>
        </w:rPr>
      </w:pPr>
    </w:p>
    <w:sectPr w:rsidR="00B1743E" w:rsidRPr="00666242" w:rsidSect="008B43A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0633A" w14:textId="77777777" w:rsidR="008A5C96" w:rsidRDefault="008A5C96" w:rsidP="00124FDC">
      <w:pPr>
        <w:spacing w:after="0"/>
      </w:pPr>
      <w:r>
        <w:separator/>
      </w:r>
    </w:p>
  </w:endnote>
  <w:endnote w:type="continuationSeparator" w:id="0">
    <w:p w14:paraId="1AD29C4F" w14:textId="77777777" w:rsidR="008A5C96" w:rsidRDefault="008A5C96"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14:paraId="1E3037FE" w14:textId="77777777" w:rsidR="008A5C96" w:rsidRDefault="008A5C96">
        <w:pPr>
          <w:pStyle w:val="Footer"/>
        </w:pPr>
        <w:r>
          <w:fldChar w:fldCharType="begin"/>
        </w:r>
        <w:r>
          <w:instrText xml:space="preserve"> PAGE   \* MERGEFORMAT </w:instrText>
        </w:r>
        <w:r>
          <w:fldChar w:fldCharType="separate"/>
        </w:r>
        <w:r w:rsidR="00426492">
          <w:rPr>
            <w:noProof/>
          </w:rPr>
          <w:t>16</w:t>
        </w:r>
        <w:r>
          <w:rPr>
            <w:noProof/>
          </w:rPr>
          <w:fldChar w:fldCharType="end"/>
        </w:r>
      </w:p>
    </w:sdtContent>
  </w:sdt>
  <w:p w14:paraId="3AE0D65A" w14:textId="77777777" w:rsidR="008A5C96" w:rsidRDefault="008A5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FC89" w14:textId="77777777" w:rsidR="008A5C96" w:rsidRDefault="008A5C96" w:rsidP="00124FDC">
      <w:pPr>
        <w:spacing w:after="0"/>
      </w:pPr>
      <w:r>
        <w:separator/>
      </w:r>
    </w:p>
  </w:footnote>
  <w:footnote w:type="continuationSeparator" w:id="0">
    <w:p w14:paraId="280DB1E2" w14:textId="77777777" w:rsidR="008A5C96" w:rsidRDefault="008A5C96"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841F" w14:textId="1B4C2512" w:rsidR="008A5C96" w:rsidRDefault="00426492">
    <w:pPr>
      <w:pStyle w:val="Header"/>
    </w:pPr>
    <w:sdt>
      <w:sdtPr>
        <w:id w:val="424306783"/>
        <w:docPartObj>
          <w:docPartGallery w:val="Watermarks"/>
          <w:docPartUnique/>
        </w:docPartObj>
      </w:sdtPr>
      <w:sdtEndPr/>
      <w:sdtContent>
        <w:r>
          <w:rPr>
            <w:noProof/>
            <w:lang w:val="en-US"/>
          </w:rPr>
          <w:pict w14:anchorId="4F52A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710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63089987"/>
        <w:docPartObj>
          <w:docPartGallery w:val="Page Numbers (Top of Page)"/>
          <w:docPartUnique/>
        </w:docPartObj>
      </w:sdtPr>
      <w:sdtEndPr>
        <w:rPr>
          <w:noProof/>
        </w:rPr>
      </w:sdtEndPr>
      <w:sdtContent>
        <w:r w:rsidR="008A5C96">
          <w:fldChar w:fldCharType="begin"/>
        </w:r>
        <w:r w:rsidR="008A5C96">
          <w:instrText xml:space="preserve"> PAGE   \* MERGEFORMAT </w:instrText>
        </w:r>
        <w:r w:rsidR="008A5C96">
          <w:fldChar w:fldCharType="separate"/>
        </w:r>
        <w:r>
          <w:rPr>
            <w:noProof/>
          </w:rPr>
          <w:t>16</w:t>
        </w:r>
        <w:r w:rsidR="008A5C96">
          <w:rPr>
            <w:noProof/>
          </w:rPr>
          <w:fldChar w:fldCharType="end"/>
        </w:r>
      </w:sdtContent>
    </w:sdt>
  </w:p>
  <w:p w14:paraId="67CA53C7" w14:textId="77777777" w:rsidR="008A5C96" w:rsidRDefault="008A5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5D2F" w14:textId="77777777" w:rsidR="008A5C96" w:rsidRDefault="008A5C96" w:rsidP="00846AEA">
    <w:pPr>
      <w:pStyle w:val="Header"/>
    </w:pPr>
    <w:r>
      <w:rPr>
        <w:noProof/>
        <w:lang w:eastAsia="en-GB"/>
      </w:rPr>
      <w:drawing>
        <wp:anchor distT="0" distB="0" distL="114300" distR="114300" simplePos="0" relativeHeight="251656704" behindDoc="1" locked="0" layoutInCell="1" allowOverlap="1" wp14:anchorId="67D5E048" wp14:editId="130A19BA">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r>
      <w:rPr>
        <w:noProof/>
        <w:lang w:eastAsia="en-GB"/>
      </w:rPr>
      <mc:AlternateContent>
        <mc:Choice Requires="wps">
          <w:drawing>
            <wp:anchor distT="45720" distB="45720" distL="114300" distR="114300" simplePos="0" relativeHeight="251657728" behindDoc="0" locked="0" layoutInCell="1" allowOverlap="1" wp14:anchorId="0589B9CF" wp14:editId="0FA9E762">
              <wp:simplePos x="0" y="0"/>
              <wp:positionH relativeFrom="column">
                <wp:posOffset>5445125</wp:posOffset>
              </wp:positionH>
              <wp:positionV relativeFrom="paragraph">
                <wp:posOffset>-267335</wp:posOffset>
              </wp:positionV>
              <wp:extent cx="1092835" cy="140462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404620"/>
                      </a:xfrm>
                      <a:prstGeom prst="rect">
                        <a:avLst/>
                      </a:prstGeom>
                      <a:solidFill>
                        <a:srgbClr val="FFFFFF"/>
                      </a:solidFill>
                      <a:ln w="9525">
                        <a:solidFill>
                          <a:srgbClr val="000000"/>
                        </a:solidFill>
                        <a:miter lim="800000"/>
                        <a:headEnd/>
                        <a:tailEnd/>
                      </a:ln>
                    </wps:spPr>
                    <wps:txbx>
                      <w:txbxContent>
                        <w:p w14:paraId="7D94520E" w14:textId="7441C879" w:rsidR="008A5C96" w:rsidRPr="000C5639" w:rsidRDefault="008A5C96">
                          <w:pPr>
                            <w:rPr>
                              <w:b/>
                            </w:rPr>
                          </w:pPr>
                          <w:r w:rsidRPr="000C5639">
                            <w:rPr>
                              <w:b/>
                            </w:rPr>
                            <w:t xml:space="preserve">Appendix </w:t>
                          </w:r>
                          <w:r>
                            <w:rPr>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9B9CF" id="_x0000_t202" coordsize="21600,21600" o:spt="202" path="m,l,21600r21600,l21600,xe">
              <v:stroke joinstyle="miter"/>
              <v:path gradientshapeok="t" o:connecttype="rect"/>
            </v:shapetype>
            <v:shape id="Text Box 2" o:spid="_x0000_s1027" type="#_x0000_t202" style="position:absolute;left:0;text-align:left;margin-left:428.75pt;margin-top:-21.05pt;width:86.0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">
              <v:textbox style="mso-fit-shape-to-text:t">
                <w:txbxContent>
                  <w:p w14:paraId="7D94520E" w14:textId="7441C879" w:rsidR="008A5C96" w:rsidRPr="000C5639" w:rsidRDefault="008A5C96">
                    <w:pPr>
                      <w:rPr>
                        <w:b/>
                      </w:rPr>
                    </w:pPr>
                    <w:r w:rsidRPr="000C5639">
                      <w:rPr>
                        <w:b/>
                      </w:rPr>
                      <w:t xml:space="preserve">Appendix </w:t>
                    </w:r>
                    <w:r>
                      <w:rPr>
                        <w:b/>
                      </w:rPr>
                      <w:t>B</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1C634B33"/>
    <w:multiLevelType w:val="hybridMultilevel"/>
    <w:tmpl w:val="572C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338E1B06"/>
    <w:multiLevelType w:val="hybridMultilevel"/>
    <w:tmpl w:val="C8C6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21179"/>
    <w:multiLevelType w:val="hybridMultilevel"/>
    <w:tmpl w:val="FC2C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E097B18"/>
    <w:multiLevelType w:val="hybridMultilevel"/>
    <w:tmpl w:val="4A8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F573C"/>
    <w:multiLevelType w:val="hybridMultilevel"/>
    <w:tmpl w:val="AB78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374F1"/>
    <w:multiLevelType w:val="hybridMultilevel"/>
    <w:tmpl w:val="BF62B41E"/>
    <w:lvl w:ilvl="0" w:tplc="08090001">
      <w:start w:val="1"/>
      <w:numFmt w:val="bullet"/>
      <w:lvlText w:val=""/>
      <w:lvlJc w:val="left"/>
      <w:pPr>
        <w:ind w:left="502" w:hanging="360"/>
      </w:pPr>
      <w:rPr>
        <w:rFonts w:ascii="Symbol" w:hAnsi="Symbol" w:hint="default"/>
      </w:rPr>
    </w:lvl>
    <w:lvl w:ilvl="1" w:tplc="256C178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BFC7B04"/>
    <w:multiLevelType w:val="hybridMultilevel"/>
    <w:tmpl w:val="C9F452C8"/>
    <w:lvl w:ilvl="0" w:tplc="3B2C852E">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4F2FD2"/>
    <w:multiLevelType w:val="hybridMultilevel"/>
    <w:tmpl w:val="B334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01796"/>
    <w:multiLevelType w:val="hybridMultilevel"/>
    <w:tmpl w:val="EF58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0"/>
  </w:num>
  <w:num w:numId="4">
    <w:abstractNumId w:val="28"/>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27"/>
  </w:num>
  <w:num w:numId="27">
    <w:abstractNumId w:val="26"/>
  </w:num>
  <w:num w:numId="28">
    <w:abstractNumId w:val="32"/>
  </w:num>
  <w:num w:numId="29">
    <w:abstractNumId w:val="22"/>
  </w:num>
  <w:num w:numId="30">
    <w:abstractNumId w:val="25"/>
  </w:num>
  <w:num w:numId="31">
    <w:abstractNumId w:val="23"/>
  </w:num>
  <w:num w:numId="32">
    <w:abstractNumId w:val="31"/>
  </w:num>
  <w:num w:numId="33">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7106">
      <o:colormru v:ext="edit" colors="#d31145,#fffddf,#ffecd6"/>
    </o:shapedefaults>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1DA0"/>
    <w:rsid w:val="00002B14"/>
    <w:rsid w:val="0000388E"/>
    <w:rsid w:val="00005501"/>
    <w:rsid w:val="000061C5"/>
    <w:rsid w:val="0000699F"/>
    <w:rsid w:val="0001056B"/>
    <w:rsid w:val="000112C8"/>
    <w:rsid w:val="0001341B"/>
    <w:rsid w:val="00016010"/>
    <w:rsid w:val="0002009B"/>
    <w:rsid w:val="000205B8"/>
    <w:rsid w:val="0002209D"/>
    <w:rsid w:val="00025819"/>
    <w:rsid w:val="0002619E"/>
    <w:rsid w:val="00026664"/>
    <w:rsid w:val="00033801"/>
    <w:rsid w:val="00044FF2"/>
    <w:rsid w:val="0004609F"/>
    <w:rsid w:val="00052490"/>
    <w:rsid w:val="00054C03"/>
    <w:rsid w:val="000561EF"/>
    <w:rsid w:val="00057B51"/>
    <w:rsid w:val="00064B2E"/>
    <w:rsid w:val="000663E0"/>
    <w:rsid w:val="000701AB"/>
    <w:rsid w:val="00071F35"/>
    <w:rsid w:val="0007606B"/>
    <w:rsid w:val="0008047C"/>
    <w:rsid w:val="00081179"/>
    <w:rsid w:val="00081E12"/>
    <w:rsid w:val="00083512"/>
    <w:rsid w:val="0008360D"/>
    <w:rsid w:val="00085091"/>
    <w:rsid w:val="00092756"/>
    <w:rsid w:val="000932E2"/>
    <w:rsid w:val="0009438D"/>
    <w:rsid w:val="00094919"/>
    <w:rsid w:val="000A1E1B"/>
    <w:rsid w:val="000A3809"/>
    <w:rsid w:val="000A3BD2"/>
    <w:rsid w:val="000A3FA6"/>
    <w:rsid w:val="000A4253"/>
    <w:rsid w:val="000A4469"/>
    <w:rsid w:val="000A5B83"/>
    <w:rsid w:val="000A747F"/>
    <w:rsid w:val="000A778B"/>
    <w:rsid w:val="000B11F8"/>
    <w:rsid w:val="000B1B4D"/>
    <w:rsid w:val="000B1C91"/>
    <w:rsid w:val="000B29E0"/>
    <w:rsid w:val="000B2AE1"/>
    <w:rsid w:val="000B5277"/>
    <w:rsid w:val="000B6397"/>
    <w:rsid w:val="000B6F0F"/>
    <w:rsid w:val="000C0795"/>
    <w:rsid w:val="000C35EE"/>
    <w:rsid w:val="000C5639"/>
    <w:rsid w:val="000C58C2"/>
    <w:rsid w:val="000D0679"/>
    <w:rsid w:val="000D15C8"/>
    <w:rsid w:val="000D1F39"/>
    <w:rsid w:val="000D2A7F"/>
    <w:rsid w:val="000D3601"/>
    <w:rsid w:val="000D4309"/>
    <w:rsid w:val="000D4BF2"/>
    <w:rsid w:val="000E00B0"/>
    <w:rsid w:val="000E02B4"/>
    <w:rsid w:val="000E136B"/>
    <w:rsid w:val="000E333A"/>
    <w:rsid w:val="000E39EC"/>
    <w:rsid w:val="000E4831"/>
    <w:rsid w:val="000E7CA1"/>
    <w:rsid w:val="000F0210"/>
    <w:rsid w:val="000F0E5F"/>
    <w:rsid w:val="000F1242"/>
    <w:rsid w:val="000F14B4"/>
    <w:rsid w:val="000F2763"/>
    <w:rsid w:val="000F2931"/>
    <w:rsid w:val="000F38C5"/>
    <w:rsid w:val="000F5673"/>
    <w:rsid w:val="000F5B37"/>
    <w:rsid w:val="000F5D50"/>
    <w:rsid w:val="000F748D"/>
    <w:rsid w:val="001001D6"/>
    <w:rsid w:val="00101EC8"/>
    <w:rsid w:val="00107954"/>
    <w:rsid w:val="00112647"/>
    <w:rsid w:val="00112B05"/>
    <w:rsid w:val="00116F50"/>
    <w:rsid w:val="00120778"/>
    <w:rsid w:val="00121597"/>
    <w:rsid w:val="00122E8D"/>
    <w:rsid w:val="001230E2"/>
    <w:rsid w:val="00124613"/>
    <w:rsid w:val="001248E1"/>
    <w:rsid w:val="00124FDC"/>
    <w:rsid w:val="001300FC"/>
    <w:rsid w:val="0013075A"/>
    <w:rsid w:val="00130AB3"/>
    <w:rsid w:val="001314AB"/>
    <w:rsid w:val="001318F2"/>
    <w:rsid w:val="00132416"/>
    <w:rsid w:val="0013275E"/>
    <w:rsid w:val="001362D3"/>
    <w:rsid w:val="0013756B"/>
    <w:rsid w:val="00142E26"/>
    <w:rsid w:val="00145395"/>
    <w:rsid w:val="001459AE"/>
    <w:rsid w:val="00145C7C"/>
    <w:rsid w:val="00145DBC"/>
    <w:rsid w:val="00147C02"/>
    <w:rsid w:val="00147CFE"/>
    <w:rsid w:val="00147F41"/>
    <w:rsid w:val="0015063B"/>
    <w:rsid w:val="0015133E"/>
    <w:rsid w:val="00151735"/>
    <w:rsid w:val="00151E3C"/>
    <w:rsid w:val="00153BDE"/>
    <w:rsid w:val="001547F8"/>
    <w:rsid w:val="00154FFB"/>
    <w:rsid w:val="001562D2"/>
    <w:rsid w:val="0015719E"/>
    <w:rsid w:val="00157938"/>
    <w:rsid w:val="00157DE1"/>
    <w:rsid w:val="0016157E"/>
    <w:rsid w:val="00161767"/>
    <w:rsid w:val="00161C22"/>
    <w:rsid w:val="00161D2B"/>
    <w:rsid w:val="0016461D"/>
    <w:rsid w:val="00165163"/>
    <w:rsid w:val="00172D71"/>
    <w:rsid w:val="00173AEB"/>
    <w:rsid w:val="00174280"/>
    <w:rsid w:val="00175707"/>
    <w:rsid w:val="001760F2"/>
    <w:rsid w:val="0017632B"/>
    <w:rsid w:val="00176F2E"/>
    <w:rsid w:val="001821C9"/>
    <w:rsid w:val="0018449A"/>
    <w:rsid w:val="00185694"/>
    <w:rsid w:val="001873E0"/>
    <w:rsid w:val="00187489"/>
    <w:rsid w:val="00194D1E"/>
    <w:rsid w:val="001970A0"/>
    <w:rsid w:val="001A134C"/>
    <w:rsid w:val="001A3073"/>
    <w:rsid w:val="001A3334"/>
    <w:rsid w:val="001A5E75"/>
    <w:rsid w:val="001B1E3C"/>
    <w:rsid w:val="001B269D"/>
    <w:rsid w:val="001B3629"/>
    <w:rsid w:val="001B540F"/>
    <w:rsid w:val="001B5633"/>
    <w:rsid w:val="001B6014"/>
    <w:rsid w:val="001C1BD1"/>
    <w:rsid w:val="001C1C6F"/>
    <w:rsid w:val="001C411B"/>
    <w:rsid w:val="001C5326"/>
    <w:rsid w:val="001C5E7F"/>
    <w:rsid w:val="001C68E2"/>
    <w:rsid w:val="001D163E"/>
    <w:rsid w:val="001D24BD"/>
    <w:rsid w:val="001D39F6"/>
    <w:rsid w:val="001D524A"/>
    <w:rsid w:val="001D5EAF"/>
    <w:rsid w:val="001D6C4E"/>
    <w:rsid w:val="001E22B3"/>
    <w:rsid w:val="001E3125"/>
    <w:rsid w:val="001E417F"/>
    <w:rsid w:val="001E485A"/>
    <w:rsid w:val="001E4CC7"/>
    <w:rsid w:val="001E6005"/>
    <w:rsid w:val="001E727E"/>
    <w:rsid w:val="001E7EF0"/>
    <w:rsid w:val="001F0AA6"/>
    <w:rsid w:val="001F0E9A"/>
    <w:rsid w:val="001F25A1"/>
    <w:rsid w:val="00201BAD"/>
    <w:rsid w:val="00210D52"/>
    <w:rsid w:val="002135B1"/>
    <w:rsid w:val="0021392C"/>
    <w:rsid w:val="00214801"/>
    <w:rsid w:val="00214ED1"/>
    <w:rsid w:val="00215E5F"/>
    <w:rsid w:val="00220D0A"/>
    <w:rsid w:val="00220E9B"/>
    <w:rsid w:val="00222D1E"/>
    <w:rsid w:val="0022383E"/>
    <w:rsid w:val="002267A3"/>
    <w:rsid w:val="00227E9E"/>
    <w:rsid w:val="0023427F"/>
    <w:rsid w:val="002345FB"/>
    <w:rsid w:val="002346A0"/>
    <w:rsid w:val="00237443"/>
    <w:rsid w:val="0024389A"/>
    <w:rsid w:val="00244522"/>
    <w:rsid w:val="00247D4E"/>
    <w:rsid w:val="002524AA"/>
    <w:rsid w:val="00253113"/>
    <w:rsid w:val="00257164"/>
    <w:rsid w:val="002578B8"/>
    <w:rsid w:val="00261225"/>
    <w:rsid w:val="00263676"/>
    <w:rsid w:val="00263DFF"/>
    <w:rsid w:val="0026678D"/>
    <w:rsid w:val="00267A41"/>
    <w:rsid w:val="00267E3B"/>
    <w:rsid w:val="00267F8F"/>
    <w:rsid w:val="00270A7A"/>
    <w:rsid w:val="00271E25"/>
    <w:rsid w:val="0027221E"/>
    <w:rsid w:val="00275B89"/>
    <w:rsid w:val="002767E5"/>
    <w:rsid w:val="00277907"/>
    <w:rsid w:val="00277A04"/>
    <w:rsid w:val="00280302"/>
    <w:rsid w:val="00281DD8"/>
    <w:rsid w:val="0028208E"/>
    <w:rsid w:val="002822BA"/>
    <w:rsid w:val="00283C71"/>
    <w:rsid w:val="00283C75"/>
    <w:rsid w:val="00290320"/>
    <w:rsid w:val="00290F56"/>
    <w:rsid w:val="002918E8"/>
    <w:rsid w:val="00291D41"/>
    <w:rsid w:val="002928DB"/>
    <w:rsid w:val="002A0203"/>
    <w:rsid w:val="002A03A8"/>
    <w:rsid w:val="002A09EE"/>
    <w:rsid w:val="002A18D1"/>
    <w:rsid w:val="002A1E91"/>
    <w:rsid w:val="002A2C0D"/>
    <w:rsid w:val="002A3292"/>
    <w:rsid w:val="002A351D"/>
    <w:rsid w:val="002A3A86"/>
    <w:rsid w:val="002A3DD0"/>
    <w:rsid w:val="002A501C"/>
    <w:rsid w:val="002A6DE2"/>
    <w:rsid w:val="002A77D7"/>
    <w:rsid w:val="002B109C"/>
    <w:rsid w:val="002B35AA"/>
    <w:rsid w:val="002B3977"/>
    <w:rsid w:val="002B6FC4"/>
    <w:rsid w:val="002C16D3"/>
    <w:rsid w:val="002C3796"/>
    <w:rsid w:val="002C4196"/>
    <w:rsid w:val="002C482F"/>
    <w:rsid w:val="002C5356"/>
    <w:rsid w:val="002C7567"/>
    <w:rsid w:val="002D1058"/>
    <w:rsid w:val="002D3AFF"/>
    <w:rsid w:val="002D4958"/>
    <w:rsid w:val="002D5781"/>
    <w:rsid w:val="002D6267"/>
    <w:rsid w:val="002D637D"/>
    <w:rsid w:val="002D71FE"/>
    <w:rsid w:val="002D7921"/>
    <w:rsid w:val="002E0CED"/>
    <w:rsid w:val="002E3569"/>
    <w:rsid w:val="002E4007"/>
    <w:rsid w:val="002E4EFF"/>
    <w:rsid w:val="002E4FB1"/>
    <w:rsid w:val="002E5340"/>
    <w:rsid w:val="002E5C88"/>
    <w:rsid w:val="002E66B7"/>
    <w:rsid w:val="002F30B9"/>
    <w:rsid w:val="002F3210"/>
    <w:rsid w:val="002F4AF1"/>
    <w:rsid w:val="002F60DB"/>
    <w:rsid w:val="003006E7"/>
    <w:rsid w:val="00300C68"/>
    <w:rsid w:val="00302718"/>
    <w:rsid w:val="003059E8"/>
    <w:rsid w:val="0030660B"/>
    <w:rsid w:val="0031004E"/>
    <w:rsid w:val="003135E1"/>
    <w:rsid w:val="00313657"/>
    <w:rsid w:val="00315A73"/>
    <w:rsid w:val="00321030"/>
    <w:rsid w:val="003218D4"/>
    <w:rsid w:val="003219F2"/>
    <w:rsid w:val="0032276D"/>
    <w:rsid w:val="0032298A"/>
    <w:rsid w:val="00325446"/>
    <w:rsid w:val="00325CF6"/>
    <w:rsid w:val="00326455"/>
    <w:rsid w:val="00326867"/>
    <w:rsid w:val="00327570"/>
    <w:rsid w:val="00330040"/>
    <w:rsid w:val="003321F2"/>
    <w:rsid w:val="00333713"/>
    <w:rsid w:val="003348C9"/>
    <w:rsid w:val="003350AF"/>
    <w:rsid w:val="00340774"/>
    <w:rsid w:val="003416CE"/>
    <w:rsid w:val="00343DC9"/>
    <w:rsid w:val="00350F56"/>
    <w:rsid w:val="00352C6F"/>
    <w:rsid w:val="00354E70"/>
    <w:rsid w:val="003626CB"/>
    <w:rsid w:val="0036395D"/>
    <w:rsid w:val="00363A3A"/>
    <w:rsid w:val="00364241"/>
    <w:rsid w:val="00365825"/>
    <w:rsid w:val="0036630C"/>
    <w:rsid w:val="00366317"/>
    <w:rsid w:val="0037393E"/>
    <w:rsid w:val="0037783F"/>
    <w:rsid w:val="003811B1"/>
    <w:rsid w:val="003816EC"/>
    <w:rsid w:val="00383392"/>
    <w:rsid w:val="00386B6C"/>
    <w:rsid w:val="00387042"/>
    <w:rsid w:val="003875B6"/>
    <w:rsid w:val="00391EC0"/>
    <w:rsid w:val="00394975"/>
    <w:rsid w:val="00394BBA"/>
    <w:rsid w:val="00394CF3"/>
    <w:rsid w:val="00396E00"/>
    <w:rsid w:val="0039786E"/>
    <w:rsid w:val="003A46CC"/>
    <w:rsid w:val="003A55F8"/>
    <w:rsid w:val="003A62CB"/>
    <w:rsid w:val="003A7DCB"/>
    <w:rsid w:val="003B0A25"/>
    <w:rsid w:val="003B0C73"/>
    <w:rsid w:val="003B38A7"/>
    <w:rsid w:val="003B4B0E"/>
    <w:rsid w:val="003B634F"/>
    <w:rsid w:val="003B6681"/>
    <w:rsid w:val="003B77BD"/>
    <w:rsid w:val="003C5D0D"/>
    <w:rsid w:val="003C795B"/>
    <w:rsid w:val="003D09D8"/>
    <w:rsid w:val="003D1166"/>
    <w:rsid w:val="003D2899"/>
    <w:rsid w:val="003D3C68"/>
    <w:rsid w:val="003D42C6"/>
    <w:rsid w:val="003D58F1"/>
    <w:rsid w:val="003E0C9F"/>
    <w:rsid w:val="003E0CB1"/>
    <w:rsid w:val="003E1CEE"/>
    <w:rsid w:val="003E3D87"/>
    <w:rsid w:val="003E4C50"/>
    <w:rsid w:val="003E4C70"/>
    <w:rsid w:val="003E4EB1"/>
    <w:rsid w:val="003E65E1"/>
    <w:rsid w:val="003E743D"/>
    <w:rsid w:val="003F0E62"/>
    <w:rsid w:val="003F3DE3"/>
    <w:rsid w:val="003F55B6"/>
    <w:rsid w:val="003F76DE"/>
    <w:rsid w:val="00405273"/>
    <w:rsid w:val="004052D8"/>
    <w:rsid w:val="00405959"/>
    <w:rsid w:val="00414DBE"/>
    <w:rsid w:val="00415606"/>
    <w:rsid w:val="00417431"/>
    <w:rsid w:val="00421596"/>
    <w:rsid w:val="00424E57"/>
    <w:rsid w:val="0042503D"/>
    <w:rsid w:val="00425781"/>
    <w:rsid w:val="00425962"/>
    <w:rsid w:val="00426492"/>
    <w:rsid w:val="00431020"/>
    <w:rsid w:val="004323C2"/>
    <w:rsid w:val="00432795"/>
    <w:rsid w:val="00433AA1"/>
    <w:rsid w:val="00442270"/>
    <w:rsid w:val="004475E4"/>
    <w:rsid w:val="00447C65"/>
    <w:rsid w:val="00447F80"/>
    <w:rsid w:val="00451501"/>
    <w:rsid w:val="00451CE6"/>
    <w:rsid w:val="004528D6"/>
    <w:rsid w:val="004533FD"/>
    <w:rsid w:val="00456350"/>
    <w:rsid w:val="00460B9A"/>
    <w:rsid w:val="00465DBB"/>
    <w:rsid w:val="004671DA"/>
    <w:rsid w:val="004672AC"/>
    <w:rsid w:val="00470902"/>
    <w:rsid w:val="00472A0F"/>
    <w:rsid w:val="0047302F"/>
    <w:rsid w:val="00481AD1"/>
    <w:rsid w:val="004866FB"/>
    <w:rsid w:val="00487350"/>
    <w:rsid w:val="00490507"/>
    <w:rsid w:val="00490CAD"/>
    <w:rsid w:val="00491E29"/>
    <w:rsid w:val="004961BB"/>
    <w:rsid w:val="004979E1"/>
    <w:rsid w:val="004A07B6"/>
    <w:rsid w:val="004A0B8B"/>
    <w:rsid w:val="004A36BC"/>
    <w:rsid w:val="004A4F18"/>
    <w:rsid w:val="004A6CE9"/>
    <w:rsid w:val="004B15F0"/>
    <w:rsid w:val="004B4B2D"/>
    <w:rsid w:val="004B4F4F"/>
    <w:rsid w:val="004B573E"/>
    <w:rsid w:val="004C00D2"/>
    <w:rsid w:val="004C1C4D"/>
    <w:rsid w:val="004C22BB"/>
    <w:rsid w:val="004C2626"/>
    <w:rsid w:val="004C283F"/>
    <w:rsid w:val="004C4208"/>
    <w:rsid w:val="004C52A6"/>
    <w:rsid w:val="004C6D02"/>
    <w:rsid w:val="004D07A3"/>
    <w:rsid w:val="004D0F2F"/>
    <w:rsid w:val="004D3311"/>
    <w:rsid w:val="004D34CC"/>
    <w:rsid w:val="004E3926"/>
    <w:rsid w:val="004E47A9"/>
    <w:rsid w:val="004F243C"/>
    <w:rsid w:val="004F4F4A"/>
    <w:rsid w:val="004F589C"/>
    <w:rsid w:val="004F7221"/>
    <w:rsid w:val="004F793C"/>
    <w:rsid w:val="005001EC"/>
    <w:rsid w:val="005059F8"/>
    <w:rsid w:val="005107F5"/>
    <w:rsid w:val="00510A25"/>
    <w:rsid w:val="00511019"/>
    <w:rsid w:val="00511F5D"/>
    <w:rsid w:val="00513A7A"/>
    <w:rsid w:val="005149F9"/>
    <w:rsid w:val="00516099"/>
    <w:rsid w:val="0051670A"/>
    <w:rsid w:val="00516FCA"/>
    <w:rsid w:val="00520ADC"/>
    <w:rsid w:val="00520EBD"/>
    <w:rsid w:val="00522CA2"/>
    <w:rsid w:val="00522DCF"/>
    <w:rsid w:val="00522F1E"/>
    <w:rsid w:val="00530305"/>
    <w:rsid w:val="00530FB6"/>
    <w:rsid w:val="00531A89"/>
    <w:rsid w:val="00531F2A"/>
    <w:rsid w:val="005331E8"/>
    <w:rsid w:val="00533982"/>
    <w:rsid w:val="00534553"/>
    <w:rsid w:val="005360E5"/>
    <w:rsid w:val="005361A2"/>
    <w:rsid w:val="005406C3"/>
    <w:rsid w:val="0054261B"/>
    <w:rsid w:val="0054272A"/>
    <w:rsid w:val="00544AD0"/>
    <w:rsid w:val="0054686B"/>
    <w:rsid w:val="00546ED7"/>
    <w:rsid w:val="005478AD"/>
    <w:rsid w:val="00552F96"/>
    <w:rsid w:val="00553EFD"/>
    <w:rsid w:val="00554019"/>
    <w:rsid w:val="00556E20"/>
    <w:rsid w:val="005602EE"/>
    <w:rsid w:val="00560829"/>
    <w:rsid w:val="00561177"/>
    <w:rsid w:val="00562427"/>
    <w:rsid w:val="00563D16"/>
    <w:rsid w:val="005652C1"/>
    <w:rsid w:val="00565DF7"/>
    <w:rsid w:val="005672F2"/>
    <w:rsid w:val="00570089"/>
    <w:rsid w:val="005703D9"/>
    <w:rsid w:val="005734D4"/>
    <w:rsid w:val="005802F2"/>
    <w:rsid w:val="00580887"/>
    <w:rsid w:val="005837F4"/>
    <w:rsid w:val="0059034F"/>
    <w:rsid w:val="00591F1A"/>
    <w:rsid w:val="00592591"/>
    <w:rsid w:val="00594064"/>
    <w:rsid w:val="00594228"/>
    <w:rsid w:val="0059655B"/>
    <w:rsid w:val="005A1497"/>
    <w:rsid w:val="005A330B"/>
    <w:rsid w:val="005A3514"/>
    <w:rsid w:val="005A4493"/>
    <w:rsid w:val="005A536F"/>
    <w:rsid w:val="005A6BE8"/>
    <w:rsid w:val="005B2328"/>
    <w:rsid w:val="005B458D"/>
    <w:rsid w:val="005B483D"/>
    <w:rsid w:val="005B5AD5"/>
    <w:rsid w:val="005B6A8A"/>
    <w:rsid w:val="005C03EB"/>
    <w:rsid w:val="005C11B6"/>
    <w:rsid w:val="005C14AC"/>
    <w:rsid w:val="005C38AB"/>
    <w:rsid w:val="005C4C7C"/>
    <w:rsid w:val="005C5693"/>
    <w:rsid w:val="005D3EB9"/>
    <w:rsid w:val="005D5DD6"/>
    <w:rsid w:val="005D7DDA"/>
    <w:rsid w:val="005E0399"/>
    <w:rsid w:val="005E2B30"/>
    <w:rsid w:val="005E3610"/>
    <w:rsid w:val="005E6D70"/>
    <w:rsid w:val="005F0649"/>
    <w:rsid w:val="005F0A9A"/>
    <w:rsid w:val="00601EEA"/>
    <w:rsid w:val="00602474"/>
    <w:rsid w:val="00602D56"/>
    <w:rsid w:val="006031E5"/>
    <w:rsid w:val="00604170"/>
    <w:rsid w:val="006109CF"/>
    <w:rsid w:val="0061106D"/>
    <w:rsid w:val="00611480"/>
    <w:rsid w:val="00617AC0"/>
    <w:rsid w:val="006201ED"/>
    <w:rsid w:val="006208E7"/>
    <w:rsid w:val="0062134E"/>
    <w:rsid w:val="00622095"/>
    <w:rsid w:val="006225AE"/>
    <w:rsid w:val="006226CB"/>
    <w:rsid w:val="00624737"/>
    <w:rsid w:val="00631B3A"/>
    <w:rsid w:val="0063358D"/>
    <w:rsid w:val="006377F0"/>
    <w:rsid w:val="00637DDF"/>
    <w:rsid w:val="0064055B"/>
    <w:rsid w:val="00641054"/>
    <w:rsid w:val="006411E8"/>
    <w:rsid w:val="00641CBE"/>
    <w:rsid w:val="00642CD8"/>
    <w:rsid w:val="006461DC"/>
    <w:rsid w:val="00650336"/>
    <w:rsid w:val="00651040"/>
    <w:rsid w:val="00652817"/>
    <w:rsid w:val="00654564"/>
    <w:rsid w:val="006549D3"/>
    <w:rsid w:val="00656055"/>
    <w:rsid w:val="00656D23"/>
    <w:rsid w:val="006573DF"/>
    <w:rsid w:val="00657E34"/>
    <w:rsid w:val="00663E2A"/>
    <w:rsid w:val="00666242"/>
    <w:rsid w:val="00667914"/>
    <w:rsid w:val="00671323"/>
    <w:rsid w:val="006715D3"/>
    <w:rsid w:val="00675165"/>
    <w:rsid w:val="00675B77"/>
    <w:rsid w:val="006803D3"/>
    <w:rsid w:val="006839B7"/>
    <w:rsid w:val="00684B24"/>
    <w:rsid w:val="00690476"/>
    <w:rsid w:val="00690753"/>
    <w:rsid w:val="00692DD4"/>
    <w:rsid w:val="00696A7C"/>
    <w:rsid w:val="00696E0F"/>
    <w:rsid w:val="00697D1D"/>
    <w:rsid w:val="006A0088"/>
    <w:rsid w:val="006A3CC4"/>
    <w:rsid w:val="006A4027"/>
    <w:rsid w:val="006A449F"/>
    <w:rsid w:val="006A567C"/>
    <w:rsid w:val="006A7810"/>
    <w:rsid w:val="006B0C6D"/>
    <w:rsid w:val="006B1F53"/>
    <w:rsid w:val="006B21CE"/>
    <w:rsid w:val="006B3273"/>
    <w:rsid w:val="006B42B3"/>
    <w:rsid w:val="006B73CA"/>
    <w:rsid w:val="006C210D"/>
    <w:rsid w:val="006C2D30"/>
    <w:rsid w:val="006C4F7E"/>
    <w:rsid w:val="006C7317"/>
    <w:rsid w:val="006C7B81"/>
    <w:rsid w:val="006D4231"/>
    <w:rsid w:val="006D59AC"/>
    <w:rsid w:val="006D5E1C"/>
    <w:rsid w:val="006D7BB1"/>
    <w:rsid w:val="006E0B5B"/>
    <w:rsid w:val="006E0BEE"/>
    <w:rsid w:val="006E1B1E"/>
    <w:rsid w:val="006E1B23"/>
    <w:rsid w:val="006E286D"/>
    <w:rsid w:val="006E2DAF"/>
    <w:rsid w:val="006E349B"/>
    <w:rsid w:val="006F4002"/>
    <w:rsid w:val="006F5DAD"/>
    <w:rsid w:val="0070208A"/>
    <w:rsid w:val="0070294D"/>
    <w:rsid w:val="0071029A"/>
    <w:rsid w:val="00710F67"/>
    <w:rsid w:val="00713EFB"/>
    <w:rsid w:val="00716937"/>
    <w:rsid w:val="00717052"/>
    <w:rsid w:val="00717060"/>
    <w:rsid w:val="0072192C"/>
    <w:rsid w:val="007234A8"/>
    <w:rsid w:val="00724DE9"/>
    <w:rsid w:val="00726750"/>
    <w:rsid w:val="00730B2B"/>
    <w:rsid w:val="00732D70"/>
    <w:rsid w:val="0073587D"/>
    <w:rsid w:val="00735E90"/>
    <w:rsid w:val="00736579"/>
    <w:rsid w:val="00737491"/>
    <w:rsid w:val="007423F7"/>
    <w:rsid w:val="007426D8"/>
    <w:rsid w:val="00744ED3"/>
    <w:rsid w:val="00745B0F"/>
    <w:rsid w:val="007468E3"/>
    <w:rsid w:val="00753FFD"/>
    <w:rsid w:val="00756E46"/>
    <w:rsid w:val="00757FB9"/>
    <w:rsid w:val="00760CD7"/>
    <w:rsid w:val="0076207A"/>
    <w:rsid w:val="00762F05"/>
    <w:rsid w:val="00770A24"/>
    <w:rsid w:val="00770CBB"/>
    <w:rsid w:val="007712F3"/>
    <w:rsid w:val="00772764"/>
    <w:rsid w:val="0077327C"/>
    <w:rsid w:val="0077399D"/>
    <w:rsid w:val="00781806"/>
    <w:rsid w:val="00782BD5"/>
    <w:rsid w:val="00782C66"/>
    <w:rsid w:val="00784105"/>
    <w:rsid w:val="0078440C"/>
    <w:rsid w:val="00784BFA"/>
    <w:rsid w:val="00785E83"/>
    <w:rsid w:val="007871E4"/>
    <w:rsid w:val="00787EDF"/>
    <w:rsid w:val="00791642"/>
    <w:rsid w:val="00795732"/>
    <w:rsid w:val="00797100"/>
    <w:rsid w:val="007A0FF7"/>
    <w:rsid w:val="007A3424"/>
    <w:rsid w:val="007A3EA8"/>
    <w:rsid w:val="007A5DF9"/>
    <w:rsid w:val="007A796C"/>
    <w:rsid w:val="007A7D0A"/>
    <w:rsid w:val="007A7DEC"/>
    <w:rsid w:val="007B25C2"/>
    <w:rsid w:val="007B3106"/>
    <w:rsid w:val="007B5C1B"/>
    <w:rsid w:val="007B6105"/>
    <w:rsid w:val="007B6838"/>
    <w:rsid w:val="007C126F"/>
    <w:rsid w:val="007C2D50"/>
    <w:rsid w:val="007C580E"/>
    <w:rsid w:val="007C6727"/>
    <w:rsid w:val="007D249C"/>
    <w:rsid w:val="007D74EE"/>
    <w:rsid w:val="007E1CBA"/>
    <w:rsid w:val="007E1FED"/>
    <w:rsid w:val="007E778D"/>
    <w:rsid w:val="007F0E6B"/>
    <w:rsid w:val="007F0F0E"/>
    <w:rsid w:val="007F158D"/>
    <w:rsid w:val="007F3B31"/>
    <w:rsid w:val="007F3C2F"/>
    <w:rsid w:val="007F3C40"/>
    <w:rsid w:val="007F4050"/>
    <w:rsid w:val="007F4E7D"/>
    <w:rsid w:val="007F6AD0"/>
    <w:rsid w:val="00800270"/>
    <w:rsid w:val="00802E4B"/>
    <w:rsid w:val="00806CFD"/>
    <w:rsid w:val="00807CBD"/>
    <w:rsid w:val="00811B44"/>
    <w:rsid w:val="008132C9"/>
    <w:rsid w:val="00813CEC"/>
    <w:rsid w:val="00814750"/>
    <w:rsid w:val="00814E3B"/>
    <w:rsid w:val="008150B9"/>
    <w:rsid w:val="00817D25"/>
    <w:rsid w:val="0082179E"/>
    <w:rsid w:val="00821C3E"/>
    <w:rsid w:val="008226A3"/>
    <w:rsid w:val="00825E86"/>
    <w:rsid w:val="00831048"/>
    <w:rsid w:val="008321DE"/>
    <w:rsid w:val="008323A6"/>
    <w:rsid w:val="008334E2"/>
    <w:rsid w:val="00835168"/>
    <w:rsid w:val="00835636"/>
    <w:rsid w:val="00836C7F"/>
    <w:rsid w:val="00841E4A"/>
    <w:rsid w:val="00843752"/>
    <w:rsid w:val="00843FA3"/>
    <w:rsid w:val="008441C9"/>
    <w:rsid w:val="00846066"/>
    <w:rsid w:val="00846AEA"/>
    <w:rsid w:val="00846DAF"/>
    <w:rsid w:val="00850008"/>
    <w:rsid w:val="00853B6D"/>
    <w:rsid w:val="008544A3"/>
    <w:rsid w:val="008566C1"/>
    <w:rsid w:val="008572A8"/>
    <w:rsid w:val="00863696"/>
    <w:rsid w:val="008676D4"/>
    <w:rsid w:val="00867701"/>
    <w:rsid w:val="008707EB"/>
    <w:rsid w:val="008709D1"/>
    <w:rsid w:val="00871AAD"/>
    <w:rsid w:val="00874FCD"/>
    <w:rsid w:val="00877C4D"/>
    <w:rsid w:val="00880E51"/>
    <w:rsid w:val="00882868"/>
    <w:rsid w:val="0088444B"/>
    <w:rsid w:val="00884BA7"/>
    <w:rsid w:val="00885F34"/>
    <w:rsid w:val="00886A5B"/>
    <w:rsid w:val="00886C3A"/>
    <w:rsid w:val="00887C6E"/>
    <w:rsid w:val="00892B1C"/>
    <w:rsid w:val="0089452B"/>
    <w:rsid w:val="00894832"/>
    <w:rsid w:val="008A1F5D"/>
    <w:rsid w:val="008A24EE"/>
    <w:rsid w:val="008A2F38"/>
    <w:rsid w:val="008A301D"/>
    <w:rsid w:val="008A426C"/>
    <w:rsid w:val="008A4F1C"/>
    <w:rsid w:val="008A5C96"/>
    <w:rsid w:val="008A6E38"/>
    <w:rsid w:val="008B105C"/>
    <w:rsid w:val="008B1FD7"/>
    <w:rsid w:val="008B2454"/>
    <w:rsid w:val="008B43A1"/>
    <w:rsid w:val="008B4F66"/>
    <w:rsid w:val="008B516F"/>
    <w:rsid w:val="008B63B8"/>
    <w:rsid w:val="008B74B7"/>
    <w:rsid w:val="008B79D7"/>
    <w:rsid w:val="008C1706"/>
    <w:rsid w:val="008C21E6"/>
    <w:rsid w:val="008C31A8"/>
    <w:rsid w:val="008C335A"/>
    <w:rsid w:val="008C3748"/>
    <w:rsid w:val="008C4122"/>
    <w:rsid w:val="008C4E81"/>
    <w:rsid w:val="008C65BD"/>
    <w:rsid w:val="008C737B"/>
    <w:rsid w:val="008C7719"/>
    <w:rsid w:val="008D321F"/>
    <w:rsid w:val="008D4B18"/>
    <w:rsid w:val="008D4FF6"/>
    <w:rsid w:val="008D5152"/>
    <w:rsid w:val="008D5D96"/>
    <w:rsid w:val="008D6E36"/>
    <w:rsid w:val="008D6F3B"/>
    <w:rsid w:val="008E0918"/>
    <w:rsid w:val="008E0C08"/>
    <w:rsid w:val="008E11C5"/>
    <w:rsid w:val="008E50BB"/>
    <w:rsid w:val="008E513E"/>
    <w:rsid w:val="008E5502"/>
    <w:rsid w:val="008E697B"/>
    <w:rsid w:val="008F0D20"/>
    <w:rsid w:val="008F279B"/>
    <w:rsid w:val="008F44ED"/>
    <w:rsid w:val="008F4954"/>
    <w:rsid w:val="008F696D"/>
    <w:rsid w:val="008F6EFB"/>
    <w:rsid w:val="00900BA3"/>
    <w:rsid w:val="009028CB"/>
    <w:rsid w:val="00902AC0"/>
    <w:rsid w:val="00903111"/>
    <w:rsid w:val="00910863"/>
    <w:rsid w:val="009113C7"/>
    <w:rsid w:val="0091448B"/>
    <w:rsid w:val="00914EC4"/>
    <w:rsid w:val="00915BF8"/>
    <w:rsid w:val="00917036"/>
    <w:rsid w:val="00920951"/>
    <w:rsid w:val="00920B7D"/>
    <w:rsid w:val="00920F5E"/>
    <w:rsid w:val="009215EC"/>
    <w:rsid w:val="0092413A"/>
    <w:rsid w:val="009242B9"/>
    <w:rsid w:val="00925B14"/>
    <w:rsid w:val="00926AF1"/>
    <w:rsid w:val="0092715A"/>
    <w:rsid w:val="0093138C"/>
    <w:rsid w:val="00932A59"/>
    <w:rsid w:val="00932C3B"/>
    <w:rsid w:val="009337DD"/>
    <w:rsid w:val="009343D3"/>
    <w:rsid w:val="00934781"/>
    <w:rsid w:val="00935FA0"/>
    <w:rsid w:val="00937409"/>
    <w:rsid w:val="00937EE0"/>
    <w:rsid w:val="00942AF1"/>
    <w:rsid w:val="00942BC2"/>
    <w:rsid w:val="00943202"/>
    <w:rsid w:val="0094386B"/>
    <w:rsid w:val="00944389"/>
    <w:rsid w:val="009459FC"/>
    <w:rsid w:val="00945A94"/>
    <w:rsid w:val="00947954"/>
    <w:rsid w:val="00947B62"/>
    <w:rsid w:val="00954499"/>
    <w:rsid w:val="00954D99"/>
    <w:rsid w:val="009554C0"/>
    <w:rsid w:val="00956265"/>
    <w:rsid w:val="00956464"/>
    <w:rsid w:val="00957B05"/>
    <w:rsid w:val="00957BD8"/>
    <w:rsid w:val="00961639"/>
    <w:rsid w:val="00962629"/>
    <w:rsid w:val="009632D9"/>
    <w:rsid w:val="0096401E"/>
    <w:rsid w:val="00964D82"/>
    <w:rsid w:val="009652E6"/>
    <w:rsid w:val="009677B6"/>
    <w:rsid w:val="00967ED5"/>
    <w:rsid w:val="00971041"/>
    <w:rsid w:val="00975679"/>
    <w:rsid w:val="00980C35"/>
    <w:rsid w:val="00981DEE"/>
    <w:rsid w:val="009837B1"/>
    <w:rsid w:val="0098497E"/>
    <w:rsid w:val="00991C0D"/>
    <w:rsid w:val="00994E2D"/>
    <w:rsid w:val="00996E68"/>
    <w:rsid w:val="009974F8"/>
    <w:rsid w:val="009A0181"/>
    <w:rsid w:val="009A0AA5"/>
    <w:rsid w:val="009A1BDA"/>
    <w:rsid w:val="009A29DA"/>
    <w:rsid w:val="009A2CC4"/>
    <w:rsid w:val="009A4411"/>
    <w:rsid w:val="009A45BC"/>
    <w:rsid w:val="009A49D9"/>
    <w:rsid w:val="009A71EE"/>
    <w:rsid w:val="009A75A9"/>
    <w:rsid w:val="009B36E3"/>
    <w:rsid w:val="009B370C"/>
    <w:rsid w:val="009B4D52"/>
    <w:rsid w:val="009C0024"/>
    <w:rsid w:val="009C0A9F"/>
    <w:rsid w:val="009C1250"/>
    <w:rsid w:val="009C183C"/>
    <w:rsid w:val="009C33F5"/>
    <w:rsid w:val="009C449A"/>
    <w:rsid w:val="009C4C42"/>
    <w:rsid w:val="009C5341"/>
    <w:rsid w:val="009C760E"/>
    <w:rsid w:val="009D070D"/>
    <w:rsid w:val="009D2B1C"/>
    <w:rsid w:val="009D306C"/>
    <w:rsid w:val="009D3EDF"/>
    <w:rsid w:val="009D4341"/>
    <w:rsid w:val="009D5A55"/>
    <w:rsid w:val="009D634A"/>
    <w:rsid w:val="009D6A96"/>
    <w:rsid w:val="009D6EAC"/>
    <w:rsid w:val="009D78DE"/>
    <w:rsid w:val="009E0066"/>
    <w:rsid w:val="009E21B7"/>
    <w:rsid w:val="009E4733"/>
    <w:rsid w:val="009E6314"/>
    <w:rsid w:val="009E65C2"/>
    <w:rsid w:val="009E7327"/>
    <w:rsid w:val="009E7619"/>
    <w:rsid w:val="009F034D"/>
    <w:rsid w:val="009F1B86"/>
    <w:rsid w:val="009F2DD7"/>
    <w:rsid w:val="009F4CEB"/>
    <w:rsid w:val="009F6553"/>
    <w:rsid w:val="009F6B07"/>
    <w:rsid w:val="00A00174"/>
    <w:rsid w:val="00A011FA"/>
    <w:rsid w:val="00A01F63"/>
    <w:rsid w:val="00A0563B"/>
    <w:rsid w:val="00A07590"/>
    <w:rsid w:val="00A07B04"/>
    <w:rsid w:val="00A11EA0"/>
    <w:rsid w:val="00A122E8"/>
    <w:rsid w:val="00A130FF"/>
    <w:rsid w:val="00A13281"/>
    <w:rsid w:val="00A14832"/>
    <w:rsid w:val="00A20D93"/>
    <w:rsid w:val="00A21BFB"/>
    <w:rsid w:val="00A24149"/>
    <w:rsid w:val="00A2574E"/>
    <w:rsid w:val="00A25EDE"/>
    <w:rsid w:val="00A26ED3"/>
    <w:rsid w:val="00A307B2"/>
    <w:rsid w:val="00A3080D"/>
    <w:rsid w:val="00A32770"/>
    <w:rsid w:val="00A32D45"/>
    <w:rsid w:val="00A33695"/>
    <w:rsid w:val="00A33840"/>
    <w:rsid w:val="00A33DBA"/>
    <w:rsid w:val="00A408EA"/>
    <w:rsid w:val="00A409DD"/>
    <w:rsid w:val="00A43A8C"/>
    <w:rsid w:val="00A47041"/>
    <w:rsid w:val="00A47E62"/>
    <w:rsid w:val="00A50D4E"/>
    <w:rsid w:val="00A5127C"/>
    <w:rsid w:val="00A55927"/>
    <w:rsid w:val="00A56F0B"/>
    <w:rsid w:val="00A60CC4"/>
    <w:rsid w:val="00A62A44"/>
    <w:rsid w:val="00A63984"/>
    <w:rsid w:val="00A64688"/>
    <w:rsid w:val="00A64CC1"/>
    <w:rsid w:val="00A67398"/>
    <w:rsid w:val="00A71014"/>
    <w:rsid w:val="00A71B89"/>
    <w:rsid w:val="00A7307E"/>
    <w:rsid w:val="00A742E7"/>
    <w:rsid w:val="00A75E7D"/>
    <w:rsid w:val="00A76229"/>
    <w:rsid w:val="00A772A7"/>
    <w:rsid w:val="00A80129"/>
    <w:rsid w:val="00A80EC4"/>
    <w:rsid w:val="00A814A4"/>
    <w:rsid w:val="00A834FF"/>
    <w:rsid w:val="00A844AF"/>
    <w:rsid w:val="00A850B0"/>
    <w:rsid w:val="00A8727C"/>
    <w:rsid w:val="00A87D18"/>
    <w:rsid w:val="00A913E7"/>
    <w:rsid w:val="00A9462E"/>
    <w:rsid w:val="00A95E6D"/>
    <w:rsid w:val="00AA0728"/>
    <w:rsid w:val="00AA1B74"/>
    <w:rsid w:val="00AA20AC"/>
    <w:rsid w:val="00AA3323"/>
    <w:rsid w:val="00AA76AE"/>
    <w:rsid w:val="00AB0570"/>
    <w:rsid w:val="00AB0E9A"/>
    <w:rsid w:val="00AB1B90"/>
    <w:rsid w:val="00AB2899"/>
    <w:rsid w:val="00AB4059"/>
    <w:rsid w:val="00AB4388"/>
    <w:rsid w:val="00AB5928"/>
    <w:rsid w:val="00AB5CBE"/>
    <w:rsid w:val="00AC08F6"/>
    <w:rsid w:val="00AC0E9B"/>
    <w:rsid w:val="00AC24DC"/>
    <w:rsid w:val="00AC2986"/>
    <w:rsid w:val="00AC2E98"/>
    <w:rsid w:val="00AC67F1"/>
    <w:rsid w:val="00AC729D"/>
    <w:rsid w:val="00AD1A8A"/>
    <w:rsid w:val="00AD491B"/>
    <w:rsid w:val="00AE062D"/>
    <w:rsid w:val="00AE1BFE"/>
    <w:rsid w:val="00AE216F"/>
    <w:rsid w:val="00AE22F5"/>
    <w:rsid w:val="00AE3BC9"/>
    <w:rsid w:val="00AE3ED1"/>
    <w:rsid w:val="00AE476B"/>
    <w:rsid w:val="00AE50AD"/>
    <w:rsid w:val="00AE6843"/>
    <w:rsid w:val="00AF5B56"/>
    <w:rsid w:val="00B0026F"/>
    <w:rsid w:val="00B02031"/>
    <w:rsid w:val="00B02322"/>
    <w:rsid w:val="00B028EF"/>
    <w:rsid w:val="00B06F0A"/>
    <w:rsid w:val="00B10F0A"/>
    <w:rsid w:val="00B12B07"/>
    <w:rsid w:val="00B13675"/>
    <w:rsid w:val="00B14367"/>
    <w:rsid w:val="00B1743E"/>
    <w:rsid w:val="00B17C06"/>
    <w:rsid w:val="00B21BF4"/>
    <w:rsid w:val="00B23125"/>
    <w:rsid w:val="00B236CE"/>
    <w:rsid w:val="00B34BEF"/>
    <w:rsid w:val="00B36058"/>
    <w:rsid w:val="00B36BCD"/>
    <w:rsid w:val="00B406F6"/>
    <w:rsid w:val="00B42B6E"/>
    <w:rsid w:val="00B45707"/>
    <w:rsid w:val="00B4636D"/>
    <w:rsid w:val="00B50DB1"/>
    <w:rsid w:val="00B53E16"/>
    <w:rsid w:val="00B5683E"/>
    <w:rsid w:val="00B56DD4"/>
    <w:rsid w:val="00B57979"/>
    <w:rsid w:val="00B57C56"/>
    <w:rsid w:val="00B57CAF"/>
    <w:rsid w:val="00B57F4C"/>
    <w:rsid w:val="00B60DE9"/>
    <w:rsid w:val="00B6681B"/>
    <w:rsid w:val="00B71EC4"/>
    <w:rsid w:val="00B72437"/>
    <w:rsid w:val="00B72D38"/>
    <w:rsid w:val="00B73C02"/>
    <w:rsid w:val="00B74433"/>
    <w:rsid w:val="00B74BCA"/>
    <w:rsid w:val="00B751C6"/>
    <w:rsid w:val="00B752F1"/>
    <w:rsid w:val="00B76843"/>
    <w:rsid w:val="00B77473"/>
    <w:rsid w:val="00B801DA"/>
    <w:rsid w:val="00B80FC5"/>
    <w:rsid w:val="00B81CF2"/>
    <w:rsid w:val="00B81DFC"/>
    <w:rsid w:val="00B83345"/>
    <w:rsid w:val="00B83EC5"/>
    <w:rsid w:val="00B86F4F"/>
    <w:rsid w:val="00B90034"/>
    <w:rsid w:val="00B913A7"/>
    <w:rsid w:val="00B941A5"/>
    <w:rsid w:val="00B9555A"/>
    <w:rsid w:val="00BA017E"/>
    <w:rsid w:val="00BA0BBC"/>
    <w:rsid w:val="00BA18AB"/>
    <w:rsid w:val="00BA479D"/>
    <w:rsid w:val="00BA613A"/>
    <w:rsid w:val="00BB23DE"/>
    <w:rsid w:val="00BB4615"/>
    <w:rsid w:val="00BC0F0D"/>
    <w:rsid w:val="00BC2003"/>
    <w:rsid w:val="00BC35EA"/>
    <w:rsid w:val="00BC3F45"/>
    <w:rsid w:val="00BC5A58"/>
    <w:rsid w:val="00BD1DB6"/>
    <w:rsid w:val="00BD33A6"/>
    <w:rsid w:val="00BD3C60"/>
    <w:rsid w:val="00BD5ED1"/>
    <w:rsid w:val="00BD6097"/>
    <w:rsid w:val="00BD6692"/>
    <w:rsid w:val="00BD7FC9"/>
    <w:rsid w:val="00BE1183"/>
    <w:rsid w:val="00BE21CC"/>
    <w:rsid w:val="00BE3503"/>
    <w:rsid w:val="00BE57E4"/>
    <w:rsid w:val="00BF09E5"/>
    <w:rsid w:val="00BF2D73"/>
    <w:rsid w:val="00BF3B3C"/>
    <w:rsid w:val="00BF4841"/>
    <w:rsid w:val="00BF5930"/>
    <w:rsid w:val="00C029A5"/>
    <w:rsid w:val="00C029F0"/>
    <w:rsid w:val="00C02BC4"/>
    <w:rsid w:val="00C03BCA"/>
    <w:rsid w:val="00C05A82"/>
    <w:rsid w:val="00C10824"/>
    <w:rsid w:val="00C143F0"/>
    <w:rsid w:val="00C151AC"/>
    <w:rsid w:val="00C15316"/>
    <w:rsid w:val="00C15390"/>
    <w:rsid w:val="00C16288"/>
    <w:rsid w:val="00C162CC"/>
    <w:rsid w:val="00C1787A"/>
    <w:rsid w:val="00C22D70"/>
    <w:rsid w:val="00C25D17"/>
    <w:rsid w:val="00C26F63"/>
    <w:rsid w:val="00C27319"/>
    <w:rsid w:val="00C30A1A"/>
    <w:rsid w:val="00C34421"/>
    <w:rsid w:val="00C37EBE"/>
    <w:rsid w:val="00C4069A"/>
    <w:rsid w:val="00C428F9"/>
    <w:rsid w:val="00C43082"/>
    <w:rsid w:val="00C4517D"/>
    <w:rsid w:val="00C45AF1"/>
    <w:rsid w:val="00C460E7"/>
    <w:rsid w:val="00C479C2"/>
    <w:rsid w:val="00C51A09"/>
    <w:rsid w:val="00C53823"/>
    <w:rsid w:val="00C5556E"/>
    <w:rsid w:val="00C566BC"/>
    <w:rsid w:val="00C56C40"/>
    <w:rsid w:val="00C620F1"/>
    <w:rsid w:val="00C62BE1"/>
    <w:rsid w:val="00C650F9"/>
    <w:rsid w:val="00C700F5"/>
    <w:rsid w:val="00C71064"/>
    <w:rsid w:val="00C74127"/>
    <w:rsid w:val="00C7650B"/>
    <w:rsid w:val="00C7747C"/>
    <w:rsid w:val="00C836E1"/>
    <w:rsid w:val="00C85A16"/>
    <w:rsid w:val="00C85B55"/>
    <w:rsid w:val="00C85F21"/>
    <w:rsid w:val="00C868B1"/>
    <w:rsid w:val="00C91973"/>
    <w:rsid w:val="00C92242"/>
    <w:rsid w:val="00C924A3"/>
    <w:rsid w:val="00C94ABC"/>
    <w:rsid w:val="00C9525E"/>
    <w:rsid w:val="00C96500"/>
    <w:rsid w:val="00CA12D4"/>
    <w:rsid w:val="00CA4D95"/>
    <w:rsid w:val="00CA6E44"/>
    <w:rsid w:val="00CB0393"/>
    <w:rsid w:val="00CB06A1"/>
    <w:rsid w:val="00CB1B68"/>
    <w:rsid w:val="00CB1C1E"/>
    <w:rsid w:val="00CB3ECF"/>
    <w:rsid w:val="00CB5342"/>
    <w:rsid w:val="00CC0550"/>
    <w:rsid w:val="00CC25DA"/>
    <w:rsid w:val="00CC274F"/>
    <w:rsid w:val="00CC34A1"/>
    <w:rsid w:val="00CC35AE"/>
    <w:rsid w:val="00CC3E43"/>
    <w:rsid w:val="00CC68D1"/>
    <w:rsid w:val="00CD0A2C"/>
    <w:rsid w:val="00CD156D"/>
    <w:rsid w:val="00CD5AFE"/>
    <w:rsid w:val="00CD7B14"/>
    <w:rsid w:val="00CD7BD0"/>
    <w:rsid w:val="00CE019C"/>
    <w:rsid w:val="00CE0408"/>
    <w:rsid w:val="00CE14DE"/>
    <w:rsid w:val="00CE42AC"/>
    <w:rsid w:val="00CE6A7E"/>
    <w:rsid w:val="00CF0CA8"/>
    <w:rsid w:val="00CF214A"/>
    <w:rsid w:val="00CF39EC"/>
    <w:rsid w:val="00CF4564"/>
    <w:rsid w:val="00CF5DC0"/>
    <w:rsid w:val="00D00CE2"/>
    <w:rsid w:val="00D02427"/>
    <w:rsid w:val="00D03FF9"/>
    <w:rsid w:val="00D04825"/>
    <w:rsid w:val="00D07DEC"/>
    <w:rsid w:val="00D12059"/>
    <w:rsid w:val="00D12E3E"/>
    <w:rsid w:val="00D13931"/>
    <w:rsid w:val="00D14360"/>
    <w:rsid w:val="00D21860"/>
    <w:rsid w:val="00D21FDD"/>
    <w:rsid w:val="00D22B6E"/>
    <w:rsid w:val="00D237C4"/>
    <w:rsid w:val="00D25BD0"/>
    <w:rsid w:val="00D311BD"/>
    <w:rsid w:val="00D31557"/>
    <w:rsid w:val="00D317E1"/>
    <w:rsid w:val="00D3438A"/>
    <w:rsid w:val="00D368EE"/>
    <w:rsid w:val="00D37069"/>
    <w:rsid w:val="00D41390"/>
    <w:rsid w:val="00D41E1D"/>
    <w:rsid w:val="00D50679"/>
    <w:rsid w:val="00D53429"/>
    <w:rsid w:val="00D55058"/>
    <w:rsid w:val="00D565E0"/>
    <w:rsid w:val="00D62B3A"/>
    <w:rsid w:val="00D632A2"/>
    <w:rsid w:val="00D63524"/>
    <w:rsid w:val="00D636D5"/>
    <w:rsid w:val="00D66B17"/>
    <w:rsid w:val="00D739DC"/>
    <w:rsid w:val="00D74347"/>
    <w:rsid w:val="00D74F49"/>
    <w:rsid w:val="00D760E6"/>
    <w:rsid w:val="00D76295"/>
    <w:rsid w:val="00D763D9"/>
    <w:rsid w:val="00D80B89"/>
    <w:rsid w:val="00D80E98"/>
    <w:rsid w:val="00D81A94"/>
    <w:rsid w:val="00D84332"/>
    <w:rsid w:val="00D8469E"/>
    <w:rsid w:val="00D84899"/>
    <w:rsid w:val="00D86FB3"/>
    <w:rsid w:val="00D877CB"/>
    <w:rsid w:val="00D90F07"/>
    <w:rsid w:val="00D92F2E"/>
    <w:rsid w:val="00D94092"/>
    <w:rsid w:val="00D96124"/>
    <w:rsid w:val="00D97C48"/>
    <w:rsid w:val="00DA2863"/>
    <w:rsid w:val="00DA3850"/>
    <w:rsid w:val="00DA420C"/>
    <w:rsid w:val="00DA486D"/>
    <w:rsid w:val="00DA518D"/>
    <w:rsid w:val="00DB0194"/>
    <w:rsid w:val="00DB11EF"/>
    <w:rsid w:val="00DB2982"/>
    <w:rsid w:val="00DB368D"/>
    <w:rsid w:val="00DB3CCE"/>
    <w:rsid w:val="00DB6632"/>
    <w:rsid w:val="00DB6C67"/>
    <w:rsid w:val="00DB6FF3"/>
    <w:rsid w:val="00DC1BB5"/>
    <w:rsid w:val="00DC2CF4"/>
    <w:rsid w:val="00DC7721"/>
    <w:rsid w:val="00DD08C9"/>
    <w:rsid w:val="00DD4D1E"/>
    <w:rsid w:val="00DD534F"/>
    <w:rsid w:val="00DD5730"/>
    <w:rsid w:val="00DD6C57"/>
    <w:rsid w:val="00DE081C"/>
    <w:rsid w:val="00DE0967"/>
    <w:rsid w:val="00DE1A9A"/>
    <w:rsid w:val="00DE3687"/>
    <w:rsid w:val="00DE6416"/>
    <w:rsid w:val="00DE650E"/>
    <w:rsid w:val="00DF183E"/>
    <w:rsid w:val="00DF24C5"/>
    <w:rsid w:val="00DF300F"/>
    <w:rsid w:val="00DF44FF"/>
    <w:rsid w:val="00DF4ECD"/>
    <w:rsid w:val="00DF68C8"/>
    <w:rsid w:val="00E00E10"/>
    <w:rsid w:val="00E016F2"/>
    <w:rsid w:val="00E01C66"/>
    <w:rsid w:val="00E03947"/>
    <w:rsid w:val="00E046F4"/>
    <w:rsid w:val="00E049F3"/>
    <w:rsid w:val="00E06CD4"/>
    <w:rsid w:val="00E11F6A"/>
    <w:rsid w:val="00E128A8"/>
    <w:rsid w:val="00E148FD"/>
    <w:rsid w:val="00E14D91"/>
    <w:rsid w:val="00E1557C"/>
    <w:rsid w:val="00E17A6E"/>
    <w:rsid w:val="00E25992"/>
    <w:rsid w:val="00E27B55"/>
    <w:rsid w:val="00E27D2F"/>
    <w:rsid w:val="00E309E8"/>
    <w:rsid w:val="00E33FA3"/>
    <w:rsid w:val="00E34346"/>
    <w:rsid w:val="00E3540A"/>
    <w:rsid w:val="00E37841"/>
    <w:rsid w:val="00E40444"/>
    <w:rsid w:val="00E418A6"/>
    <w:rsid w:val="00E435DF"/>
    <w:rsid w:val="00E43DD2"/>
    <w:rsid w:val="00E4700D"/>
    <w:rsid w:val="00E47965"/>
    <w:rsid w:val="00E5535E"/>
    <w:rsid w:val="00E559FA"/>
    <w:rsid w:val="00E56CB8"/>
    <w:rsid w:val="00E57047"/>
    <w:rsid w:val="00E570CC"/>
    <w:rsid w:val="00E57BDA"/>
    <w:rsid w:val="00E57F56"/>
    <w:rsid w:val="00E605EA"/>
    <w:rsid w:val="00E60F9F"/>
    <w:rsid w:val="00E61A7C"/>
    <w:rsid w:val="00E61F8F"/>
    <w:rsid w:val="00E62ADD"/>
    <w:rsid w:val="00E630AF"/>
    <w:rsid w:val="00E644C2"/>
    <w:rsid w:val="00E653BD"/>
    <w:rsid w:val="00E6598B"/>
    <w:rsid w:val="00E65B5D"/>
    <w:rsid w:val="00E65E00"/>
    <w:rsid w:val="00E66027"/>
    <w:rsid w:val="00E6630C"/>
    <w:rsid w:val="00E729AE"/>
    <w:rsid w:val="00E74525"/>
    <w:rsid w:val="00E7457D"/>
    <w:rsid w:val="00E759D7"/>
    <w:rsid w:val="00E775EA"/>
    <w:rsid w:val="00E83281"/>
    <w:rsid w:val="00E87ECF"/>
    <w:rsid w:val="00E91076"/>
    <w:rsid w:val="00E926FA"/>
    <w:rsid w:val="00E943E5"/>
    <w:rsid w:val="00E9585B"/>
    <w:rsid w:val="00E9683C"/>
    <w:rsid w:val="00EA2809"/>
    <w:rsid w:val="00EA3790"/>
    <w:rsid w:val="00EA41E9"/>
    <w:rsid w:val="00EA5B58"/>
    <w:rsid w:val="00EA5E03"/>
    <w:rsid w:val="00EB00CD"/>
    <w:rsid w:val="00EB10CE"/>
    <w:rsid w:val="00EB1E4E"/>
    <w:rsid w:val="00EB2029"/>
    <w:rsid w:val="00EB3E0F"/>
    <w:rsid w:val="00EB7D48"/>
    <w:rsid w:val="00EC088D"/>
    <w:rsid w:val="00EC25A8"/>
    <w:rsid w:val="00EC3212"/>
    <w:rsid w:val="00EC34EA"/>
    <w:rsid w:val="00EC3B62"/>
    <w:rsid w:val="00EC6427"/>
    <w:rsid w:val="00ED1286"/>
    <w:rsid w:val="00ED1816"/>
    <w:rsid w:val="00ED3B0D"/>
    <w:rsid w:val="00ED55BB"/>
    <w:rsid w:val="00ED6001"/>
    <w:rsid w:val="00EE1511"/>
    <w:rsid w:val="00EE1BF5"/>
    <w:rsid w:val="00EE1F4D"/>
    <w:rsid w:val="00EE38E9"/>
    <w:rsid w:val="00EE3ACD"/>
    <w:rsid w:val="00EE4881"/>
    <w:rsid w:val="00EE5E69"/>
    <w:rsid w:val="00EF26E7"/>
    <w:rsid w:val="00EF2F73"/>
    <w:rsid w:val="00EF3144"/>
    <w:rsid w:val="00EF4A1C"/>
    <w:rsid w:val="00EF750C"/>
    <w:rsid w:val="00F02F3F"/>
    <w:rsid w:val="00F04418"/>
    <w:rsid w:val="00F0622E"/>
    <w:rsid w:val="00F07D42"/>
    <w:rsid w:val="00F10592"/>
    <w:rsid w:val="00F1303C"/>
    <w:rsid w:val="00F134C8"/>
    <w:rsid w:val="00F16533"/>
    <w:rsid w:val="00F171D4"/>
    <w:rsid w:val="00F17B22"/>
    <w:rsid w:val="00F2006C"/>
    <w:rsid w:val="00F2084D"/>
    <w:rsid w:val="00F22685"/>
    <w:rsid w:val="00F246ED"/>
    <w:rsid w:val="00F24CF7"/>
    <w:rsid w:val="00F25BB4"/>
    <w:rsid w:val="00F32452"/>
    <w:rsid w:val="00F32701"/>
    <w:rsid w:val="00F33217"/>
    <w:rsid w:val="00F33996"/>
    <w:rsid w:val="00F376F6"/>
    <w:rsid w:val="00F40757"/>
    <w:rsid w:val="00F42317"/>
    <w:rsid w:val="00F42371"/>
    <w:rsid w:val="00F43393"/>
    <w:rsid w:val="00F44F66"/>
    <w:rsid w:val="00F468F5"/>
    <w:rsid w:val="00F50A4C"/>
    <w:rsid w:val="00F50EA9"/>
    <w:rsid w:val="00F53647"/>
    <w:rsid w:val="00F5519A"/>
    <w:rsid w:val="00F55646"/>
    <w:rsid w:val="00F55A01"/>
    <w:rsid w:val="00F604DE"/>
    <w:rsid w:val="00F612E4"/>
    <w:rsid w:val="00F627D8"/>
    <w:rsid w:val="00F62A33"/>
    <w:rsid w:val="00F64622"/>
    <w:rsid w:val="00F67B58"/>
    <w:rsid w:val="00F74211"/>
    <w:rsid w:val="00F74D0B"/>
    <w:rsid w:val="00F757F1"/>
    <w:rsid w:val="00F75B76"/>
    <w:rsid w:val="00F7670E"/>
    <w:rsid w:val="00F9199C"/>
    <w:rsid w:val="00F952DD"/>
    <w:rsid w:val="00FA0633"/>
    <w:rsid w:val="00FA09E3"/>
    <w:rsid w:val="00FA343B"/>
    <w:rsid w:val="00FA3B79"/>
    <w:rsid w:val="00FB057B"/>
    <w:rsid w:val="00FB3259"/>
    <w:rsid w:val="00FB42EC"/>
    <w:rsid w:val="00FB6CC3"/>
    <w:rsid w:val="00FB7968"/>
    <w:rsid w:val="00FB7F5C"/>
    <w:rsid w:val="00FB7FFB"/>
    <w:rsid w:val="00FC0C4B"/>
    <w:rsid w:val="00FC150C"/>
    <w:rsid w:val="00FC2752"/>
    <w:rsid w:val="00FC4425"/>
    <w:rsid w:val="00FC52AA"/>
    <w:rsid w:val="00FC57C5"/>
    <w:rsid w:val="00FC59F9"/>
    <w:rsid w:val="00FD16B2"/>
    <w:rsid w:val="00FD1CCE"/>
    <w:rsid w:val="00FD2CFD"/>
    <w:rsid w:val="00FD3734"/>
    <w:rsid w:val="00FD51C5"/>
    <w:rsid w:val="00FD5928"/>
    <w:rsid w:val="00FD63F3"/>
    <w:rsid w:val="00FD6720"/>
    <w:rsid w:val="00FD7467"/>
    <w:rsid w:val="00FE09B4"/>
    <w:rsid w:val="00FE14D5"/>
    <w:rsid w:val="00FE31FC"/>
    <w:rsid w:val="00FE4EB7"/>
    <w:rsid w:val="00FE65E6"/>
    <w:rsid w:val="00FF4EC2"/>
    <w:rsid w:val="00FF508F"/>
    <w:rsid w:val="00FF50AC"/>
    <w:rsid w:val="00FF7B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colormru v:ext="edit" colors="#d31145,#fffddf,#ffecd6"/>
    </o:shapedefaults>
    <o:shapelayout v:ext="edit">
      <o:idmap v:ext="edit" data="1"/>
    </o:shapelayout>
  </w:shapeDefaults>
  <w:decimalSymbol w:val="."/>
  <w:listSeparator w:val=","/>
  <w14:docId w14:val="66AFEFBE"/>
  <w15:docId w15:val="{265A1FC7-0CA2-4508-A2C8-5A345C15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129">
      <w:bodyDiv w:val="1"/>
      <w:marLeft w:val="0"/>
      <w:marRight w:val="0"/>
      <w:marTop w:val="0"/>
      <w:marBottom w:val="0"/>
      <w:divBdr>
        <w:top w:val="none" w:sz="0" w:space="0" w:color="auto"/>
        <w:left w:val="none" w:sz="0" w:space="0" w:color="auto"/>
        <w:bottom w:val="none" w:sz="0" w:space="0" w:color="auto"/>
        <w:right w:val="none" w:sz="0" w:space="0" w:color="auto"/>
      </w:divBdr>
    </w:div>
    <w:div w:id="85611312">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02063893">
      <w:bodyDiv w:val="1"/>
      <w:marLeft w:val="0"/>
      <w:marRight w:val="0"/>
      <w:marTop w:val="0"/>
      <w:marBottom w:val="0"/>
      <w:divBdr>
        <w:top w:val="none" w:sz="0" w:space="0" w:color="auto"/>
        <w:left w:val="none" w:sz="0" w:space="0" w:color="auto"/>
        <w:bottom w:val="none" w:sz="0" w:space="0" w:color="auto"/>
        <w:right w:val="none" w:sz="0" w:space="0" w:color="auto"/>
      </w:divBdr>
    </w:div>
    <w:div w:id="236943434">
      <w:bodyDiv w:val="1"/>
      <w:marLeft w:val="0"/>
      <w:marRight w:val="0"/>
      <w:marTop w:val="0"/>
      <w:marBottom w:val="0"/>
      <w:divBdr>
        <w:top w:val="none" w:sz="0" w:space="0" w:color="auto"/>
        <w:left w:val="none" w:sz="0" w:space="0" w:color="auto"/>
        <w:bottom w:val="none" w:sz="0" w:space="0" w:color="auto"/>
        <w:right w:val="none" w:sz="0" w:space="0" w:color="auto"/>
      </w:divBdr>
    </w:div>
    <w:div w:id="323360412">
      <w:bodyDiv w:val="1"/>
      <w:marLeft w:val="0"/>
      <w:marRight w:val="0"/>
      <w:marTop w:val="0"/>
      <w:marBottom w:val="0"/>
      <w:divBdr>
        <w:top w:val="none" w:sz="0" w:space="0" w:color="auto"/>
        <w:left w:val="none" w:sz="0" w:space="0" w:color="auto"/>
        <w:bottom w:val="none" w:sz="0" w:space="0" w:color="auto"/>
        <w:right w:val="none" w:sz="0" w:space="0" w:color="auto"/>
      </w:divBdr>
    </w:div>
    <w:div w:id="434709246">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614599431">
      <w:bodyDiv w:val="1"/>
      <w:marLeft w:val="0"/>
      <w:marRight w:val="0"/>
      <w:marTop w:val="0"/>
      <w:marBottom w:val="0"/>
      <w:divBdr>
        <w:top w:val="none" w:sz="0" w:space="0" w:color="auto"/>
        <w:left w:val="none" w:sz="0" w:space="0" w:color="auto"/>
        <w:bottom w:val="none" w:sz="0" w:space="0" w:color="auto"/>
        <w:right w:val="none" w:sz="0" w:space="0" w:color="auto"/>
      </w:divBdr>
    </w:div>
    <w:div w:id="631330300">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872613931">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71172964">
      <w:bodyDiv w:val="1"/>
      <w:marLeft w:val="0"/>
      <w:marRight w:val="0"/>
      <w:marTop w:val="0"/>
      <w:marBottom w:val="0"/>
      <w:divBdr>
        <w:top w:val="none" w:sz="0" w:space="0" w:color="auto"/>
        <w:left w:val="none" w:sz="0" w:space="0" w:color="auto"/>
        <w:bottom w:val="none" w:sz="0" w:space="0" w:color="auto"/>
        <w:right w:val="none" w:sz="0" w:space="0" w:color="auto"/>
      </w:divBdr>
    </w:div>
    <w:div w:id="1510946460">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79628393">
      <w:bodyDiv w:val="1"/>
      <w:marLeft w:val="0"/>
      <w:marRight w:val="0"/>
      <w:marTop w:val="0"/>
      <w:marBottom w:val="0"/>
      <w:divBdr>
        <w:top w:val="none" w:sz="0" w:space="0" w:color="auto"/>
        <w:left w:val="none" w:sz="0" w:space="0" w:color="auto"/>
        <w:bottom w:val="none" w:sz="0" w:space="0" w:color="auto"/>
        <w:right w:val="none" w:sz="0" w:space="0" w:color="auto"/>
      </w:divBdr>
    </w:div>
    <w:div w:id="1620255583">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DACA5-581D-4A88-B5E3-FA4AEF07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80</TotalTime>
  <Pages>16</Pages>
  <Words>4521</Words>
  <Characters>25771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30232</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Lee, Kate</cp:lastModifiedBy>
  <cp:revision>17</cp:revision>
  <cp:lastPrinted>2016-01-07T10:51:00Z</cp:lastPrinted>
  <dcterms:created xsi:type="dcterms:W3CDTF">2016-08-23T10:20:00Z</dcterms:created>
  <dcterms:modified xsi:type="dcterms:W3CDTF">2016-08-25T06:55:00Z</dcterms:modified>
</cp:coreProperties>
</file>